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CFF3" w14:textId="77777777" w:rsidR="005332E5" w:rsidRDefault="005332E5">
      <w:pPr>
        <w:spacing w:after="0"/>
        <w:ind w:left="-1440" w:right="10800"/>
      </w:pPr>
      <w:bookmarkStart w:id="0" w:name="_GoBack"/>
      <w:bookmarkEnd w:id="0"/>
    </w:p>
    <w:tbl>
      <w:tblPr>
        <w:tblStyle w:val="TableGrid"/>
        <w:tblW w:w="10893" w:type="dxa"/>
        <w:tblInd w:w="-5" w:type="dxa"/>
        <w:tblCellMar>
          <w:top w:w="45" w:type="dxa"/>
          <w:left w:w="108" w:type="dxa"/>
          <w:right w:w="17" w:type="dxa"/>
        </w:tblCellMar>
        <w:tblLook w:val="04A0" w:firstRow="1" w:lastRow="0" w:firstColumn="1" w:lastColumn="0" w:noHBand="0" w:noVBand="1"/>
      </w:tblPr>
      <w:tblGrid>
        <w:gridCol w:w="1980"/>
        <w:gridCol w:w="3600"/>
        <w:gridCol w:w="361"/>
        <w:gridCol w:w="2431"/>
        <w:gridCol w:w="2521"/>
      </w:tblGrid>
      <w:tr w:rsidR="005332E5" w14:paraId="62156AED" w14:textId="77777777" w:rsidTr="003C6EF2">
        <w:trPr>
          <w:trHeight w:val="370"/>
        </w:trPr>
        <w:tc>
          <w:tcPr>
            <w:tcW w:w="5941"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13758B" w14:textId="77777777" w:rsidR="005332E5" w:rsidRDefault="00120956">
            <w:pPr>
              <w:ind w:right="93"/>
              <w:jc w:val="center"/>
            </w:pPr>
            <w:r>
              <w:rPr>
                <w:b/>
                <w:sz w:val="40"/>
              </w:rPr>
              <w:t>M</w:t>
            </w:r>
            <w:r>
              <w:rPr>
                <w:b/>
                <w:sz w:val="32"/>
              </w:rPr>
              <w:t xml:space="preserve">AINE </w:t>
            </w:r>
            <w:r>
              <w:rPr>
                <w:b/>
                <w:sz w:val="40"/>
              </w:rPr>
              <w:t>P</w:t>
            </w:r>
            <w:r>
              <w:rPr>
                <w:b/>
                <w:sz w:val="32"/>
              </w:rPr>
              <w:t xml:space="preserve">RIMARY </w:t>
            </w:r>
            <w:r>
              <w:rPr>
                <w:b/>
                <w:sz w:val="40"/>
              </w:rPr>
              <w:t>C</w:t>
            </w:r>
            <w:r>
              <w:rPr>
                <w:b/>
                <w:sz w:val="32"/>
              </w:rPr>
              <w:t xml:space="preserve">ARE </w:t>
            </w:r>
            <w:r>
              <w:rPr>
                <w:b/>
                <w:sz w:val="40"/>
              </w:rPr>
              <w:t>A</w:t>
            </w:r>
            <w:r>
              <w:rPr>
                <w:b/>
                <w:sz w:val="32"/>
              </w:rPr>
              <w:t xml:space="preserve">SSOCIATION </w:t>
            </w:r>
          </w:p>
          <w:p w14:paraId="5B912E49" w14:textId="5F6C3937" w:rsidR="005332E5" w:rsidRPr="00CC7D71" w:rsidRDefault="00ED1E2C" w:rsidP="00911C56">
            <w:pPr>
              <w:ind w:right="90"/>
              <w:jc w:val="center"/>
              <w:rPr>
                <w:rFonts w:asciiTheme="minorHAnsi" w:hAnsiTheme="minorHAnsi" w:cstheme="minorHAnsi"/>
                <w:smallCaps/>
                <w:sz w:val="32"/>
                <w:szCs w:val="32"/>
              </w:rPr>
            </w:pPr>
            <w:r w:rsidRPr="00CC7D71">
              <w:rPr>
                <w:rFonts w:asciiTheme="minorHAnsi" w:hAnsiTheme="minorHAnsi" w:cstheme="minorHAnsi"/>
                <w:b/>
                <w:smallCaps/>
                <w:sz w:val="32"/>
                <w:szCs w:val="32"/>
              </w:rPr>
              <w:t>Clinical Education Re</w:t>
            </w:r>
            <w:r w:rsidR="00911C56" w:rsidRPr="00CC7D71">
              <w:rPr>
                <w:rFonts w:asciiTheme="minorHAnsi" w:hAnsiTheme="minorHAnsi" w:cstheme="minorHAnsi"/>
                <w:b/>
                <w:smallCaps/>
                <w:sz w:val="32"/>
                <w:szCs w:val="32"/>
              </w:rPr>
              <w:t>treat</w:t>
            </w:r>
            <w:r w:rsidR="00120956" w:rsidRPr="00CC7D71">
              <w:rPr>
                <w:rFonts w:asciiTheme="minorHAnsi" w:hAnsiTheme="minorHAnsi" w:cstheme="minorHAnsi"/>
                <w:smallCaps/>
                <w:sz w:val="32"/>
                <w:szCs w:val="32"/>
              </w:rPr>
              <w:t xml:space="preserve"> </w:t>
            </w:r>
          </w:p>
        </w:tc>
        <w:tc>
          <w:tcPr>
            <w:tcW w:w="4952" w:type="dxa"/>
            <w:gridSpan w:val="2"/>
            <w:tcBorders>
              <w:top w:val="single" w:sz="4" w:space="0" w:color="000000"/>
              <w:left w:val="single" w:sz="4" w:space="0" w:color="000000"/>
              <w:bottom w:val="single" w:sz="4" w:space="0" w:color="000000"/>
              <w:right w:val="single" w:sz="4" w:space="0" w:color="000000"/>
            </w:tcBorders>
          </w:tcPr>
          <w:p w14:paraId="6BA989B9" w14:textId="77777777" w:rsidR="005332E5" w:rsidRDefault="00911C56">
            <w:pPr>
              <w:ind w:right="93"/>
              <w:jc w:val="right"/>
            </w:pPr>
            <w:r>
              <w:rPr>
                <w:b/>
                <w:sz w:val="20"/>
              </w:rPr>
              <w:t>June 27</w:t>
            </w:r>
            <w:r w:rsidRPr="00911C56">
              <w:rPr>
                <w:b/>
                <w:sz w:val="20"/>
                <w:vertAlign w:val="superscript"/>
              </w:rPr>
              <w:t>th</w:t>
            </w:r>
            <w:r>
              <w:rPr>
                <w:b/>
                <w:sz w:val="20"/>
              </w:rPr>
              <w:t>, 2019</w:t>
            </w:r>
            <w:r w:rsidR="00120956">
              <w:rPr>
                <w:b/>
                <w:sz w:val="20"/>
              </w:rPr>
              <w:t xml:space="preserve">  </w:t>
            </w:r>
          </w:p>
        </w:tc>
      </w:tr>
      <w:tr w:rsidR="005332E5" w14:paraId="3CAAB0D3" w14:textId="77777777" w:rsidTr="003C6EF2">
        <w:trPr>
          <w:trHeight w:val="362"/>
        </w:trPr>
        <w:tc>
          <w:tcPr>
            <w:tcW w:w="0" w:type="auto"/>
            <w:gridSpan w:val="3"/>
            <w:vMerge/>
            <w:tcBorders>
              <w:top w:val="nil"/>
              <w:left w:val="single" w:sz="4" w:space="0" w:color="000000"/>
              <w:bottom w:val="nil"/>
              <w:right w:val="single" w:sz="4" w:space="0" w:color="000000"/>
            </w:tcBorders>
          </w:tcPr>
          <w:p w14:paraId="6AB3F584" w14:textId="77777777" w:rsidR="005332E5" w:rsidRDefault="005332E5"/>
        </w:tc>
        <w:tc>
          <w:tcPr>
            <w:tcW w:w="4952" w:type="dxa"/>
            <w:gridSpan w:val="2"/>
            <w:tcBorders>
              <w:top w:val="single" w:sz="4" w:space="0" w:color="000000"/>
              <w:left w:val="single" w:sz="4" w:space="0" w:color="000000"/>
              <w:bottom w:val="single" w:sz="4" w:space="0" w:color="000000"/>
              <w:right w:val="single" w:sz="4" w:space="0" w:color="000000"/>
            </w:tcBorders>
          </w:tcPr>
          <w:p w14:paraId="14DEA69E" w14:textId="70759393" w:rsidR="005332E5" w:rsidRDefault="00911C56" w:rsidP="00F8788A">
            <w:pPr>
              <w:ind w:right="97"/>
              <w:jc w:val="right"/>
            </w:pPr>
            <w:r>
              <w:rPr>
                <w:b/>
                <w:sz w:val="20"/>
              </w:rPr>
              <w:t>8:3</w:t>
            </w:r>
            <w:r w:rsidR="00120956">
              <w:rPr>
                <w:b/>
                <w:sz w:val="20"/>
              </w:rPr>
              <w:t xml:space="preserve">0 </w:t>
            </w:r>
            <w:r w:rsidR="00F8788A">
              <w:rPr>
                <w:b/>
                <w:sz w:val="20"/>
              </w:rPr>
              <w:t>AM</w:t>
            </w:r>
            <w:r w:rsidR="00120956">
              <w:rPr>
                <w:b/>
                <w:sz w:val="20"/>
              </w:rPr>
              <w:t xml:space="preserve"> – 3:30 </w:t>
            </w:r>
            <w:r w:rsidR="00F8788A">
              <w:rPr>
                <w:b/>
                <w:sz w:val="20"/>
              </w:rPr>
              <w:t>PM</w:t>
            </w:r>
          </w:p>
        </w:tc>
      </w:tr>
      <w:tr w:rsidR="005332E5" w14:paraId="5681CB52" w14:textId="77777777" w:rsidTr="003C6EF2">
        <w:trPr>
          <w:trHeight w:val="350"/>
        </w:trPr>
        <w:tc>
          <w:tcPr>
            <w:tcW w:w="0" w:type="auto"/>
            <w:gridSpan w:val="3"/>
            <w:vMerge/>
            <w:tcBorders>
              <w:top w:val="nil"/>
              <w:left w:val="single" w:sz="4" w:space="0" w:color="000000"/>
              <w:bottom w:val="single" w:sz="4" w:space="0" w:color="000000"/>
              <w:right w:val="single" w:sz="4" w:space="0" w:color="000000"/>
            </w:tcBorders>
          </w:tcPr>
          <w:p w14:paraId="7B4E55AE" w14:textId="77777777" w:rsidR="005332E5" w:rsidRDefault="005332E5"/>
        </w:tc>
        <w:tc>
          <w:tcPr>
            <w:tcW w:w="4952" w:type="dxa"/>
            <w:gridSpan w:val="2"/>
            <w:tcBorders>
              <w:top w:val="single" w:sz="4" w:space="0" w:color="000000"/>
              <w:left w:val="single" w:sz="4" w:space="0" w:color="000000"/>
              <w:bottom w:val="single" w:sz="4" w:space="0" w:color="000000"/>
              <w:right w:val="single" w:sz="4" w:space="0" w:color="000000"/>
            </w:tcBorders>
          </w:tcPr>
          <w:p w14:paraId="0739FBE9" w14:textId="77777777" w:rsidR="005332E5" w:rsidRDefault="00120956">
            <w:pPr>
              <w:ind w:right="93"/>
              <w:jc w:val="right"/>
            </w:pPr>
            <w:r>
              <w:rPr>
                <w:b/>
                <w:sz w:val="20"/>
              </w:rPr>
              <w:t xml:space="preserve">Lucerne Inn  </w:t>
            </w:r>
          </w:p>
        </w:tc>
      </w:tr>
      <w:tr w:rsidR="005332E5" w14:paraId="46A558F3" w14:textId="77777777" w:rsidTr="003C6EF2">
        <w:trPr>
          <w:trHeight w:val="314"/>
        </w:trPr>
        <w:tc>
          <w:tcPr>
            <w:tcW w:w="1980" w:type="dxa"/>
            <w:tcBorders>
              <w:top w:val="single" w:sz="4" w:space="0" w:color="000000"/>
              <w:left w:val="single" w:sz="4" w:space="0" w:color="000000"/>
              <w:bottom w:val="single" w:sz="4" w:space="0" w:color="000000"/>
              <w:right w:val="single" w:sz="4" w:space="0" w:color="000000"/>
            </w:tcBorders>
          </w:tcPr>
          <w:p w14:paraId="4C61F309" w14:textId="77777777" w:rsidR="005332E5" w:rsidRDefault="00120956">
            <w:r>
              <w:rPr>
                <w:b/>
                <w:sz w:val="20"/>
              </w:rPr>
              <w:t xml:space="preserve">Meeting contact: </w:t>
            </w:r>
          </w:p>
        </w:tc>
        <w:tc>
          <w:tcPr>
            <w:tcW w:w="3600" w:type="dxa"/>
            <w:tcBorders>
              <w:top w:val="single" w:sz="4" w:space="0" w:color="000000"/>
              <w:left w:val="single" w:sz="4" w:space="0" w:color="000000"/>
              <w:bottom w:val="single" w:sz="4" w:space="0" w:color="000000"/>
              <w:right w:val="single" w:sz="4" w:space="0" w:color="000000"/>
            </w:tcBorders>
          </w:tcPr>
          <w:p w14:paraId="64B58FD6" w14:textId="03953A10" w:rsidR="005332E5" w:rsidRDefault="003C6EF2" w:rsidP="003C6EF2">
            <w:r>
              <w:rPr>
                <w:sz w:val="20"/>
              </w:rPr>
              <w:t>Greta Cummings</w:t>
            </w:r>
            <w:r w:rsidR="00120956">
              <w:rPr>
                <w:sz w:val="20"/>
              </w:rPr>
              <w:t xml:space="preserve">: </w:t>
            </w:r>
            <w:r>
              <w:rPr>
                <w:b/>
                <w:color w:val="0563C1"/>
                <w:sz w:val="20"/>
                <w:u w:val="single" w:color="0563C1"/>
              </w:rPr>
              <w:t>gcummings</w:t>
            </w:r>
            <w:r w:rsidR="00120956">
              <w:rPr>
                <w:b/>
                <w:color w:val="0563C1"/>
                <w:sz w:val="20"/>
                <w:u w:val="single" w:color="0563C1"/>
              </w:rPr>
              <w:t>@mepca.org</w:t>
            </w:r>
            <w:r w:rsidR="00120956">
              <w:rPr>
                <w:b/>
                <w:sz w:val="20"/>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245BF057" w14:textId="77777777" w:rsidR="005332E5" w:rsidRDefault="00120956">
            <w:r>
              <w:rPr>
                <w:b/>
                <w:sz w:val="20"/>
              </w:rPr>
              <w:t xml:space="preserve">Type of meeting: </w:t>
            </w:r>
          </w:p>
        </w:tc>
        <w:tc>
          <w:tcPr>
            <w:tcW w:w="2521" w:type="dxa"/>
            <w:tcBorders>
              <w:top w:val="single" w:sz="4" w:space="0" w:color="000000"/>
              <w:left w:val="single" w:sz="4" w:space="0" w:color="000000"/>
              <w:bottom w:val="single" w:sz="4" w:space="0" w:color="000000"/>
              <w:right w:val="single" w:sz="4" w:space="0" w:color="000000"/>
            </w:tcBorders>
          </w:tcPr>
          <w:p w14:paraId="76200D26" w14:textId="77777777" w:rsidR="005332E5" w:rsidRDefault="00911C56">
            <w:r>
              <w:rPr>
                <w:b/>
                <w:sz w:val="20"/>
              </w:rPr>
              <w:t>Clinical</w:t>
            </w:r>
            <w:r w:rsidR="00120956">
              <w:rPr>
                <w:b/>
                <w:sz w:val="20"/>
              </w:rPr>
              <w:t xml:space="preserve"> Retreat   </w:t>
            </w:r>
          </w:p>
        </w:tc>
      </w:tr>
      <w:tr w:rsidR="005332E5" w14:paraId="61711016" w14:textId="77777777" w:rsidTr="003C6EF2">
        <w:trPr>
          <w:trHeight w:val="862"/>
        </w:trPr>
        <w:tc>
          <w:tcPr>
            <w:tcW w:w="1980" w:type="dxa"/>
            <w:tcBorders>
              <w:top w:val="single" w:sz="4" w:space="0" w:color="000000"/>
              <w:left w:val="single" w:sz="4" w:space="0" w:color="000000"/>
              <w:bottom w:val="single" w:sz="4" w:space="0" w:color="000000"/>
              <w:right w:val="single" w:sz="4" w:space="0" w:color="000000"/>
            </w:tcBorders>
          </w:tcPr>
          <w:p w14:paraId="50523CB7" w14:textId="77777777" w:rsidR="005332E5" w:rsidRDefault="00120956">
            <w:r>
              <w:rPr>
                <w:b/>
                <w:sz w:val="20"/>
              </w:rPr>
              <w:t xml:space="preserve">Facilitator: </w:t>
            </w:r>
          </w:p>
        </w:tc>
        <w:tc>
          <w:tcPr>
            <w:tcW w:w="3600" w:type="dxa"/>
            <w:tcBorders>
              <w:top w:val="single" w:sz="4" w:space="0" w:color="000000"/>
              <w:left w:val="single" w:sz="4" w:space="0" w:color="000000"/>
              <w:bottom w:val="single" w:sz="4" w:space="0" w:color="000000"/>
              <w:right w:val="single" w:sz="4" w:space="0" w:color="000000"/>
            </w:tcBorders>
          </w:tcPr>
          <w:p w14:paraId="3D47E0EB" w14:textId="77777777" w:rsidR="003C6EF2" w:rsidRDefault="00911C56">
            <w:pPr>
              <w:rPr>
                <w:b/>
                <w:sz w:val="20"/>
              </w:rPr>
            </w:pPr>
            <w:r>
              <w:rPr>
                <w:b/>
                <w:sz w:val="20"/>
              </w:rPr>
              <w:t xml:space="preserve">Sarah Morrill, </w:t>
            </w:r>
            <w:r w:rsidR="003C6EF2">
              <w:rPr>
                <w:b/>
                <w:sz w:val="20"/>
              </w:rPr>
              <w:t>RN</w:t>
            </w:r>
          </w:p>
          <w:p w14:paraId="7DF01B88" w14:textId="098C5DF5" w:rsidR="005332E5" w:rsidRDefault="00911C56" w:rsidP="003C6EF2">
            <w:r>
              <w:rPr>
                <w:b/>
                <w:sz w:val="20"/>
              </w:rPr>
              <w:t>Quality Improvement Program Manager</w:t>
            </w:r>
            <w:r>
              <w:rPr>
                <w:sz w:val="20"/>
              </w:rPr>
              <w:t xml:space="preserve"> </w:t>
            </w:r>
            <w:r w:rsidRPr="003C6EF2">
              <w:rPr>
                <w:b/>
                <w:sz w:val="20"/>
              </w:rPr>
              <w:t>MPCA</w:t>
            </w:r>
          </w:p>
        </w:tc>
        <w:tc>
          <w:tcPr>
            <w:tcW w:w="2792" w:type="dxa"/>
            <w:gridSpan w:val="2"/>
            <w:tcBorders>
              <w:top w:val="single" w:sz="4" w:space="0" w:color="000000"/>
              <w:left w:val="single" w:sz="4" w:space="0" w:color="000000"/>
              <w:bottom w:val="single" w:sz="4" w:space="0" w:color="000000"/>
              <w:right w:val="single" w:sz="4" w:space="0" w:color="000000"/>
            </w:tcBorders>
          </w:tcPr>
          <w:p w14:paraId="54A6589F" w14:textId="068C28C6" w:rsidR="00120956" w:rsidRDefault="00120956" w:rsidP="00120956">
            <w:r>
              <w:rPr>
                <w:b/>
                <w:sz w:val="20"/>
              </w:rPr>
              <w:t xml:space="preserve">Co-Facilitator:  </w:t>
            </w:r>
          </w:p>
          <w:p w14:paraId="7F5D358D" w14:textId="3C4F9398" w:rsidR="005332E5" w:rsidRDefault="005332E5"/>
        </w:tc>
        <w:tc>
          <w:tcPr>
            <w:tcW w:w="2521" w:type="dxa"/>
            <w:tcBorders>
              <w:top w:val="single" w:sz="4" w:space="0" w:color="000000"/>
              <w:left w:val="single" w:sz="4" w:space="0" w:color="000000"/>
              <w:bottom w:val="single" w:sz="4" w:space="0" w:color="000000"/>
              <w:right w:val="single" w:sz="4" w:space="0" w:color="000000"/>
            </w:tcBorders>
          </w:tcPr>
          <w:p w14:paraId="6EC649B2" w14:textId="071645BD" w:rsidR="00120956" w:rsidRDefault="00120956" w:rsidP="00120956">
            <w:pPr>
              <w:rPr>
                <w:b/>
                <w:sz w:val="20"/>
              </w:rPr>
            </w:pPr>
            <w:r>
              <w:rPr>
                <w:b/>
                <w:sz w:val="20"/>
              </w:rPr>
              <w:t>Chris Pezzullo</w:t>
            </w:r>
            <w:r w:rsidR="003C6EF2">
              <w:rPr>
                <w:b/>
                <w:sz w:val="20"/>
              </w:rPr>
              <w:t>, DO</w:t>
            </w:r>
          </w:p>
          <w:p w14:paraId="252F5AF9" w14:textId="77777777" w:rsidR="003C6EF2" w:rsidRDefault="003C6EF2" w:rsidP="00120956">
            <w:pPr>
              <w:rPr>
                <w:b/>
                <w:sz w:val="20"/>
              </w:rPr>
            </w:pPr>
            <w:r>
              <w:rPr>
                <w:b/>
                <w:sz w:val="20"/>
              </w:rPr>
              <w:t>Clinical Director</w:t>
            </w:r>
          </w:p>
          <w:p w14:paraId="35DC59E2" w14:textId="7376873E" w:rsidR="005332E5" w:rsidRDefault="00120956" w:rsidP="00120956">
            <w:r>
              <w:rPr>
                <w:b/>
                <w:sz w:val="20"/>
              </w:rPr>
              <w:t>MPCA</w:t>
            </w:r>
          </w:p>
        </w:tc>
      </w:tr>
      <w:tr w:rsidR="005332E5" w14:paraId="10A6ECD4" w14:textId="77777777" w:rsidTr="003C6EF2">
        <w:trPr>
          <w:trHeight w:val="374"/>
        </w:trPr>
        <w:tc>
          <w:tcPr>
            <w:tcW w:w="1980" w:type="dxa"/>
            <w:tcBorders>
              <w:top w:val="single" w:sz="4" w:space="0" w:color="000000"/>
              <w:left w:val="single" w:sz="4" w:space="0" w:color="000000"/>
              <w:bottom w:val="single" w:sz="4" w:space="0" w:color="000000"/>
              <w:right w:val="single" w:sz="4" w:space="0" w:color="000000"/>
            </w:tcBorders>
          </w:tcPr>
          <w:p w14:paraId="498305CA" w14:textId="77777777" w:rsidR="005332E5" w:rsidRDefault="00120956">
            <w:r>
              <w:rPr>
                <w:b/>
                <w:sz w:val="20"/>
              </w:rPr>
              <w:t xml:space="preserve">Theme: </w:t>
            </w:r>
          </w:p>
        </w:tc>
        <w:tc>
          <w:tcPr>
            <w:tcW w:w="8913" w:type="dxa"/>
            <w:gridSpan w:val="4"/>
            <w:tcBorders>
              <w:top w:val="single" w:sz="4" w:space="0" w:color="000000"/>
              <w:left w:val="single" w:sz="4" w:space="0" w:color="000000"/>
              <w:bottom w:val="single" w:sz="4" w:space="0" w:color="000000"/>
              <w:right w:val="single" w:sz="4" w:space="0" w:color="000000"/>
            </w:tcBorders>
          </w:tcPr>
          <w:p w14:paraId="42820281" w14:textId="155CF1EA" w:rsidR="005332E5" w:rsidRDefault="00ED3EF9">
            <w:r>
              <w:rPr>
                <w:sz w:val="20"/>
              </w:rPr>
              <w:t xml:space="preserve">Promising Practices in </w:t>
            </w:r>
            <w:r w:rsidR="00911C56">
              <w:rPr>
                <w:sz w:val="20"/>
              </w:rPr>
              <w:t>Chronic Disease Prevention and Self-Management</w:t>
            </w:r>
          </w:p>
        </w:tc>
      </w:tr>
      <w:tr w:rsidR="005332E5" w14:paraId="00FDA246" w14:textId="77777777" w:rsidTr="003C6EF2">
        <w:trPr>
          <w:trHeight w:val="374"/>
        </w:trPr>
        <w:tc>
          <w:tcPr>
            <w:tcW w:w="1980" w:type="dxa"/>
            <w:tcBorders>
              <w:top w:val="single" w:sz="4" w:space="0" w:color="000000"/>
              <w:left w:val="single" w:sz="4" w:space="0" w:color="000000"/>
              <w:bottom w:val="single" w:sz="4" w:space="0" w:color="000000"/>
              <w:right w:val="single" w:sz="4" w:space="0" w:color="000000"/>
            </w:tcBorders>
          </w:tcPr>
          <w:p w14:paraId="6ED82BF2" w14:textId="77777777" w:rsidR="005332E5" w:rsidRDefault="00120956">
            <w:r>
              <w:rPr>
                <w:b/>
                <w:sz w:val="20"/>
              </w:rPr>
              <w:t xml:space="preserve">Attendees: </w:t>
            </w:r>
          </w:p>
        </w:tc>
        <w:tc>
          <w:tcPr>
            <w:tcW w:w="8913" w:type="dxa"/>
            <w:gridSpan w:val="4"/>
            <w:tcBorders>
              <w:top w:val="single" w:sz="4" w:space="0" w:color="000000"/>
              <w:left w:val="single" w:sz="4" w:space="0" w:color="000000"/>
              <w:bottom w:val="single" w:sz="4" w:space="0" w:color="000000"/>
              <w:right w:val="single" w:sz="4" w:space="0" w:color="000000"/>
            </w:tcBorders>
          </w:tcPr>
          <w:p w14:paraId="761AE62F" w14:textId="77777777" w:rsidR="005332E5" w:rsidRDefault="00120956" w:rsidP="00911C56">
            <w:r>
              <w:rPr>
                <w:sz w:val="20"/>
              </w:rPr>
              <w:t>Medical</w:t>
            </w:r>
            <w:r w:rsidR="00911C56">
              <w:rPr>
                <w:sz w:val="20"/>
              </w:rPr>
              <w:t>, Behavioral Health</w:t>
            </w:r>
            <w:r>
              <w:rPr>
                <w:sz w:val="20"/>
              </w:rPr>
              <w:t xml:space="preserve"> &amp; Dental </w:t>
            </w:r>
            <w:r w:rsidR="00911C56">
              <w:rPr>
                <w:sz w:val="20"/>
              </w:rPr>
              <w:t>Providers and clinical staff</w:t>
            </w:r>
            <w:r>
              <w:rPr>
                <w:sz w:val="20"/>
              </w:rPr>
              <w:t xml:space="preserve"> </w:t>
            </w:r>
          </w:p>
        </w:tc>
      </w:tr>
      <w:tr w:rsidR="005332E5" w14:paraId="0CC800A4" w14:textId="77777777" w:rsidTr="003C6EF2">
        <w:trPr>
          <w:trHeight w:val="3152"/>
        </w:trPr>
        <w:tc>
          <w:tcPr>
            <w:tcW w:w="1980" w:type="dxa"/>
            <w:tcBorders>
              <w:top w:val="single" w:sz="4" w:space="0" w:color="000000"/>
              <w:left w:val="single" w:sz="4" w:space="0" w:color="000000"/>
              <w:bottom w:val="single" w:sz="4" w:space="0" w:color="000000"/>
              <w:right w:val="single" w:sz="4" w:space="0" w:color="000000"/>
            </w:tcBorders>
          </w:tcPr>
          <w:p w14:paraId="1D46FB06" w14:textId="77777777" w:rsidR="005332E5" w:rsidRDefault="00120956">
            <w:r>
              <w:rPr>
                <w:b/>
                <w:sz w:val="20"/>
              </w:rPr>
              <w:t xml:space="preserve">Learning Objectives:  </w:t>
            </w:r>
          </w:p>
        </w:tc>
        <w:tc>
          <w:tcPr>
            <w:tcW w:w="8913" w:type="dxa"/>
            <w:gridSpan w:val="4"/>
            <w:tcBorders>
              <w:top w:val="single" w:sz="4" w:space="0" w:color="000000"/>
              <w:left w:val="single" w:sz="4" w:space="0" w:color="000000"/>
              <w:bottom w:val="single" w:sz="4" w:space="0" w:color="000000"/>
              <w:right w:val="single" w:sz="4" w:space="0" w:color="000000"/>
            </w:tcBorders>
          </w:tcPr>
          <w:p w14:paraId="4718D35F" w14:textId="3D0CF336" w:rsidR="005332E5" w:rsidRDefault="00120956" w:rsidP="00120956">
            <w:pPr>
              <w:numPr>
                <w:ilvl w:val="0"/>
                <w:numId w:val="1"/>
              </w:numPr>
              <w:spacing w:after="51"/>
              <w:ind w:right="376" w:hanging="360"/>
            </w:pPr>
            <w:r>
              <w:rPr>
                <w:sz w:val="20"/>
              </w:rPr>
              <w:t>To exp</w:t>
            </w:r>
            <w:r w:rsidR="00911C56">
              <w:rPr>
                <w:sz w:val="20"/>
              </w:rPr>
              <w:t>ose participants to the innovative</w:t>
            </w:r>
            <w:r w:rsidR="005A1D7E">
              <w:rPr>
                <w:sz w:val="20"/>
              </w:rPr>
              <w:t>, lifespan-</w:t>
            </w:r>
            <w:r w:rsidR="00911C56">
              <w:rPr>
                <w:sz w:val="20"/>
              </w:rPr>
              <w:t>approaches to addressing the burden of chronic disease</w:t>
            </w:r>
            <w:r w:rsidR="005A1D7E">
              <w:rPr>
                <w:sz w:val="20"/>
              </w:rPr>
              <w:t>.</w:t>
            </w:r>
          </w:p>
          <w:p w14:paraId="1E71BFB7" w14:textId="77777777" w:rsidR="005332E5" w:rsidRDefault="00911C56" w:rsidP="00120956">
            <w:pPr>
              <w:numPr>
                <w:ilvl w:val="0"/>
                <w:numId w:val="1"/>
              </w:numPr>
              <w:spacing w:after="13"/>
              <w:ind w:right="376" w:hanging="360"/>
            </w:pPr>
            <w:r>
              <w:rPr>
                <w:sz w:val="20"/>
              </w:rPr>
              <w:t>To understand</w:t>
            </w:r>
            <w:r w:rsidR="00120956">
              <w:rPr>
                <w:sz w:val="20"/>
              </w:rPr>
              <w:t xml:space="preserve"> the impact of</w:t>
            </w:r>
            <w:r>
              <w:rPr>
                <w:sz w:val="20"/>
              </w:rPr>
              <w:t xml:space="preserve"> targeted</w:t>
            </w:r>
            <w:r w:rsidR="00120956">
              <w:rPr>
                <w:sz w:val="20"/>
              </w:rPr>
              <w:t xml:space="preserve"> </w:t>
            </w:r>
            <w:r>
              <w:rPr>
                <w:sz w:val="20"/>
              </w:rPr>
              <w:t>prevention programming on patients with high risk for developing chronic disease.</w:t>
            </w:r>
            <w:r w:rsidR="00120956">
              <w:rPr>
                <w:sz w:val="20"/>
              </w:rPr>
              <w:t xml:space="preserve"> </w:t>
            </w:r>
          </w:p>
          <w:p w14:paraId="0CD48356" w14:textId="77777777" w:rsidR="005332E5" w:rsidRPr="00911C56" w:rsidRDefault="00120956" w:rsidP="00120956">
            <w:pPr>
              <w:numPr>
                <w:ilvl w:val="0"/>
                <w:numId w:val="1"/>
              </w:numPr>
              <w:spacing w:after="32"/>
              <w:ind w:right="376" w:hanging="360"/>
              <w:rPr>
                <w:sz w:val="20"/>
              </w:rPr>
            </w:pPr>
            <w:r>
              <w:rPr>
                <w:sz w:val="20"/>
              </w:rPr>
              <w:t xml:space="preserve">To </w:t>
            </w:r>
            <w:r w:rsidRPr="00911C56">
              <w:rPr>
                <w:sz w:val="20"/>
              </w:rPr>
              <w:t xml:space="preserve">understand </w:t>
            </w:r>
            <w:r w:rsidR="00911C56">
              <w:rPr>
                <w:sz w:val="20"/>
              </w:rPr>
              <w:t xml:space="preserve">the impact of self-management programming on patients with chronic disease diagnosis. </w:t>
            </w:r>
          </w:p>
          <w:p w14:paraId="4FBF2207" w14:textId="77777777" w:rsidR="005332E5" w:rsidRPr="00911C56" w:rsidRDefault="00120956" w:rsidP="00120956">
            <w:pPr>
              <w:numPr>
                <w:ilvl w:val="0"/>
                <w:numId w:val="1"/>
              </w:numPr>
              <w:spacing w:after="33"/>
              <w:ind w:right="376" w:hanging="360"/>
            </w:pPr>
            <w:r>
              <w:rPr>
                <w:sz w:val="20"/>
              </w:rPr>
              <w:t xml:space="preserve">To explore </w:t>
            </w:r>
            <w:r w:rsidR="00911C56">
              <w:rPr>
                <w:sz w:val="20"/>
              </w:rPr>
              <w:t>strategies for patient engagement around self-directed behavior change</w:t>
            </w:r>
            <w:r>
              <w:rPr>
                <w:sz w:val="20"/>
              </w:rPr>
              <w:t xml:space="preserve">. </w:t>
            </w:r>
          </w:p>
          <w:p w14:paraId="728951B0" w14:textId="1E6D262F" w:rsidR="00911C56" w:rsidRDefault="00911C56" w:rsidP="00120956">
            <w:pPr>
              <w:numPr>
                <w:ilvl w:val="0"/>
                <w:numId w:val="1"/>
              </w:numPr>
              <w:spacing w:after="33"/>
              <w:ind w:right="376" w:hanging="360"/>
            </w:pPr>
            <w:r>
              <w:rPr>
                <w:sz w:val="20"/>
              </w:rPr>
              <w:t>To identify the relationship between social determinants of health</w:t>
            </w:r>
            <w:r w:rsidR="005A1D7E">
              <w:rPr>
                <w:sz w:val="20"/>
              </w:rPr>
              <w:t>, childhood experience,</w:t>
            </w:r>
            <w:r>
              <w:rPr>
                <w:sz w:val="20"/>
              </w:rPr>
              <w:t xml:space="preserve"> and chronic disease.  </w:t>
            </w:r>
          </w:p>
          <w:p w14:paraId="190FC367" w14:textId="77777777" w:rsidR="005332E5" w:rsidRDefault="00911C56" w:rsidP="00120956">
            <w:pPr>
              <w:numPr>
                <w:ilvl w:val="0"/>
                <w:numId w:val="1"/>
              </w:numPr>
              <w:ind w:right="376" w:hanging="360"/>
            </w:pPr>
            <w:r>
              <w:rPr>
                <w:sz w:val="20"/>
              </w:rPr>
              <w:t>To gain tools and resources for implementing evidence-based chronic disease management programs in community healthcare setting</w:t>
            </w:r>
            <w:r w:rsidR="00120956">
              <w:rPr>
                <w:sz w:val="20"/>
              </w:rPr>
              <w:t xml:space="preserve">. </w:t>
            </w:r>
          </w:p>
        </w:tc>
      </w:tr>
      <w:tr w:rsidR="005332E5" w14:paraId="31F20CD6" w14:textId="77777777" w:rsidTr="003C6EF2">
        <w:trPr>
          <w:trHeight w:val="461"/>
        </w:trPr>
        <w:tc>
          <w:tcPr>
            <w:tcW w:w="10893" w:type="dxa"/>
            <w:gridSpan w:val="5"/>
            <w:tcBorders>
              <w:top w:val="single" w:sz="4" w:space="0" w:color="000000"/>
              <w:left w:val="single" w:sz="4" w:space="0" w:color="000000"/>
              <w:bottom w:val="single" w:sz="4" w:space="0" w:color="000000"/>
              <w:right w:val="single" w:sz="4" w:space="0" w:color="000000"/>
            </w:tcBorders>
          </w:tcPr>
          <w:p w14:paraId="6FCD4C39" w14:textId="77777777" w:rsidR="005332E5" w:rsidRDefault="00120956">
            <w:r>
              <w:rPr>
                <w:b/>
                <w:sz w:val="32"/>
              </w:rPr>
              <w:t>A</w:t>
            </w:r>
            <w:r>
              <w:rPr>
                <w:b/>
                <w:sz w:val="26"/>
              </w:rPr>
              <w:t xml:space="preserve">GENDA </w:t>
            </w:r>
            <w:r>
              <w:rPr>
                <w:b/>
                <w:sz w:val="32"/>
              </w:rPr>
              <w:t>I</w:t>
            </w:r>
            <w:r>
              <w:rPr>
                <w:b/>
                <w:sz w:val="26"/>
              </w:rPr>
              <w:t>TEMS</w:t>
            </w:r>
            <w:r>
              <w:rPr>
                <w:b/>
                <w:sz w:val="32"/>
              </w:rPr>
              <w:t xml:space="preserve"> </w:t>
            </w:r>
          </w:p>
        </w:tc>
      </w:tr>
      <w:tr w:rsidR="005332E5" w14:paraId="7EF55DB6" w14:textId="77777777" w:rsidTr="003C6EF2">
        <w:trPr>
          <w:trHeight w:val="372"/>
        </w:trPr>
        <w:tc>
          <w:tcPr>
            <w:tcW w:w="5941" w:type="dxa"/>
            <w:gridSpan w:val="3"/>
            <w:tcBorders>
              <w:top w:val="single" w:sz="4" w:space="0" w:color="000000"/>
              <w:left w:val="single" w:sz="4" w:space="0" w:color="000000"/>
              <w:bottom w:val="single" w:sz="4" w:space="0" w:color="000000"/>
              <w:right w:val="single" w:sz="4" w:space="0" w:color="000000"/>
            </w:tcBorders>
          </w:tcPr>
          <w:p w14:paraId="2DE33766" w14:textId="77777777" w:rsidR="005332E5" w:rsidRDefault="00120956">
            <w:r>
              <w:rPr>
                <w:b/>
                <w:sz w:val="20"/>
              </w:rPr>
              <w:t xml:space="preserve">Topic </w:t>
            </w:r>
          </w:p>
        </w:tc>
        <w:tc>
          <w:tcPr>
            <w:tcW w:w="2431" w:type="dxa"/>
            <w:tcBorders>
              <w:top w:val="single" w:sz="4" w:space="0" w:color="000000"/>
              <w:left w:val="single" w:sz="4" w:space="0" w:color="000000"/>
              <w:bottom w:val="single" w:sz="4" w:space="0" w:color="000000"/>
              <w:right w:val="single" w:sz="4" w:space="0" w:color="000000"/>
            </w:tcBorders>
          </w:tcPr>
          <w:p w14:paraId="00D10CBD" w14:textId="77777777" w:rsidR="005332E5" w:rsidRDefault="00120956">
            <w:r>
              <w:rPr>
                <w:b/>
                <w:sz w:val="20"/>
              </w:rPr>
              <w:t xml:space="preserve">Facilitator </w:t>
            </w:r>
          </w:p>
        </w:tc>
        <w:tc>
          <w:tcPr>
            <w:tcW w:w="2521" w:type="dxa"/>
            <w:tcBorders>
              <w:top w:val="single" w:sz="4" w:space="0" w:color="000000"/>
              <w:left w:val="single" w:sz="4" w:space="0" w:color="000000"/>
              <w:bottom w:val="single" w:sz="4" w:space="0" w:color="000000"/>
              <w:right w:val="single" w:sz="4" w:space="0" w:color="000000"/>
            </w:tcBorders>
          </w:tcPr>
          <w:p w14:paraId="6EE2697A" w14:textId="77777777" w:rsidR="005332E5" w:rsidRDefault="00120956">
            <w:r>
              <w:rPr>
                <w:b/>
                <w:sz w:val="20"/>
              </w:rPr>
              <w:t xml:space="preserve">Time  </w:t>
            </w:r>
          </w:p>
        </w:tc>
      </w:tr>
      <w:tr w:rsidR="005A1D7E" w14:paraId="56943AA4" w14:textId="77777777" w:rsidTr="003C6EF2">
        <w:trPr>
          <w:trHeight w:val="366"/>
        </w:trPr>
        <w:tc>
          <w:tcPr>
            <w:tcW w:w="5941" w:type="dxa"/>
            <w:gridSpan w:val="3"/>
            <w:tcBorders>
              <w:top w:val="single" w:sz="4" w:space="0" w:color="000000"/>
              <w:left w:val="single" w:sz="4" w:space="0" w:color="000000"/>
              <w:bottom w:val="single" w:sz="4" w:space="0" w:color="000000"/>
              <w:right w:val="single" w:sz="4" w:space="0" w:color="000000"/>
            </w:tcBorders>
            <w:vAlign w:val="center"/>
          </w:tcPr>
          <w:p w14:paraId="5DFC1CCC" w14:textId="57F454F7" w:rsidR="005A1D7E" w:rsidRPr="005A1D7E" w:rsidRDefault="005A1D7E" w:rsidP="005A1D7E">
            <w:pPr>
              <w:spacing w:after="83"/>
              <w:rPr>
                <w:b/>
                <w:sz w:val="20"/>
              </w:rPr>
            </w:pPr>
            <w:r>
              <w:rPr>
                <w:b/>
                <w:sz w:val="20"/>
              </w:rPr>
              <w:t xml:space="preserve">Breakfast and registration open </w:t>
            </w:r>
          </w:p>
        </w:tc>
        <w:tc>
          <w:tcPr>
            <w:tcW w:w="2431" w:type="dxa"/>
            <w:tcBorders>
              <w:top w:val="single" w:sz="4" w:space="0" w:color="000000"/>
              <w:left w:val="single" w:sz="4" w:space="0" w:color="000000"/>
              <w:bottom w:val="single" w:sz="4" w:space="0" w:color="000000"/>
              <w:right w:val="single" w:sz="4" w:space="0" w:color="000000"/>
            </w:tcBorders>
            <w:vAlign w:val="center"/>
          </w:tcPr>
          <w:p w14:paraId="2BE9A4FD" w14:textId="77777777" w:rsidR="005A1D7E" w:rsidRDefault="005A1D7E">
            <w:pPr>
              <w:spacing w:after="42"/>
              <w:rPr>
                <w:b/>
                <w:sz w:val="20"/>
              </w:rPr>
            </w:pPr>
          </w:p>
        </w:tc>
        <w:tc>
          <w:tcPr>
            <w:tcW w:w="2521" w:type="dxa"/>
            <w:tcBorders>
              <w:top w:val="single" w:sz="4" w:space="0" w:color="000000"/>
              <w:left w:val="single" w:sz="4" w:space="0" w:color="000000"/>
              <w:bottom w:val="single" w:sz="4" w:space="0" w:color="000000"/>
              <w:right w:val="single" w:sz="4" w:space="0" w:color="000000"/>
            </w:tcBorders>
          </w:tcPr>
          <w:p w14:paraId="3D6B4072" w14:textId="18228D67" w:rsidR="005A1D7E" w:rsidRDefault="005A1D7E" w:rsidP="00911C56">
            <w:pPr>
              <w:rPr>
                <w:color w:val="808080"/>
                <w:sz w:val="20"/>
              </w:rPr>
            </w:pPr>
            <w:r>
              <w:rPr>
                <w:color w:val="808080"/>
                <w:sz w:val="20"/>
              </w:rPr>
              <w:t>8:30</w:t>
            </w:r>
            <w:r w:rsidR="003C6EF2">
              <w:rPr>
                <w:color w:val="808080"/>
                <w:sz w:val="20"/>
              </w:rPr>
              <w:t xml:space="preserve"> </w:t>
            </w:r>
            <w:r>
              <w:rPr>
                <w:color w:val="808080"/>
                <w:sz w:val="20"/>
              </w:rPr>
              <w:t>-</w:t>
            </w:r>
            <w:r w:rsidR="003C6EF2">
              <w:rPr>
                <w:color w:val="808080"/>
                <w:sz w:val="20"/>
              </w:rPr>
              <w:t xml:space="preserve"> </w:t>
            </w:r>
            <w:r>
              <w:rPr>
                <w:color w:val="808080"/>
                <w:sz w:val="20"/>
              </w:rPr>
              <w:t>8:45 AM</w:t>
            </w:r>
          </w:p>
        </w:tc>
      </w:tr>
      <w:tr w:rsidR="005332E5" w14:paraId="12E4C853" w14:textId="77777777" w:rsidTr="002574CD">
        <w:trPr>
          <w:trHeight w:val="953"/>
        </w:trPr>
        <w:tc>
          <w:tcPr>
            <w:tcW w:w="5941" w:type="dxa"/>
            <w:gridSpan w:val="3"/>
            <w:tcBorders>
              <w:top w:val="single" w:sz="4" w:space="0" w:color="000000"/>
              <w:left w:val="single" w:sz="4" w:space="0" w:color="000000"/>
              <w:bottom w:val="single" w:sz="4" w:space="0" w:color="000000"/>
              <w:right w:val="single" w:sz="4" w:space="0" w:color="000000"/>
            </w:tcBorders>
            <w:vAlign w:val="center"/>
          </w:tcPr>
          <w:p w14:paraId="2619062E" w14:textId="77777777" w:rsidR="005332E5" w:rsidRDefault="00120956">
            <w:pPr>
              <w:spacing w:after="83"/>
            </w:pPr>
            <w:r>
              <w:rPr>
                <w:b/>
                <w:i/>
                <w:sz w:val="20"/>
              </w:rPr>
              <w:t xml:space="preserve">Welcome &amp; Introductions </w:t>
            </w:r>
          </w:p>
          <w:p w14:paraId="290EDE51" w14:textId="77777777" w:rsidR="005332E5" w:rsidRDefault="00120956">
            <w:pPr>
              <w:numPr>
                <w:ilvl w:val="0"/>
                <w:numId w:val="2"/>
              </w:numPr>
              <w:spacing w:after="62"/>
              <w:ind w:hanging="360"/>
            </w:pPr>
            <w:r>
              <w:rPr>
                <w:i/>
                <w:sz w:val="20"/>
              </w:rPr>
              <w:t xml:space="preserve">Agenda review </w:t>
            </w:r>
          </w:p>
          <w:p w14:paraId="7D20C95A" w14:textId="24C1C944" w:rsidR="005332E5" w:rsidRDefault="0016317C" w:rsidP="003C6EF2">
            <w:pPr>
              <w:numPr>
                <w:ilvl w:val="0"/>
                <w:numId w:val="2"/>
              </w:numPr>
              <w:spacing w:after="59"/>
              <w:ind w:hanging="360"/>
            </w:pPr>
            <w:r>
              <w:rPr>
                <w:i/>
                <w:sz w:val="20"/>
              </w:rPr>
              <w:t>Call to Action</w:t>
            </w:r>
          </w:p>
        </w:tc>
        <w:tc>
          <w:tcPr>
            <w:tcW w:w="2431" w:type="dxa"/>
            <w:tcBorders>
              <w:top w:val="single" w:sz="4" w:space="0" w:color="000000"/>
              <w:left w:val="single" w:sz="4" w:space="0" w:color="000000"/>
              <w:bottom w:val="single" w:sz="4" w:space="0" w:color="000000"/>
              <w:right w:val="single" w:sz="4" w:space="0" w:color="000000"/>
            </w:tcBorders>
            <w:vAlign w:val="center"/>
          </w:tcPr>
          <w:p w14:paraId="47D6586E" w14:textId="454BC235" w:rsidR="00ED3EF9" w:rsidRDefault="00ED3EF9">
            <w:pPr>
              <w:spacing w:after="42"/>
              <w:rPr>
                <w:b/>
                <w:sz w:val="20"/>
              </w:rPr>
            </w:pPr>
            <w:r>
              <w:rPr>
                <w:b/>
                <w:sz w:val="20"/>
              </w:rPr>
              <w:t>Chris Pezzullo</w:t>
            </w:r>
            <w:r w:rsidR="003C6EF2">
              <w:rPr>
                <w:b/>
                <w:sz w:val="20"/>
              </w:rPr>
              <w:t>, DO</w:t>
            </w:r>
            <w:r>
              <w:rPr>
                <w:b/>
                <w:sz w:val="20"/>
              </w:rPr>
              <w:t xml:space="preserve"> </w:t>
            </w:r>
          </w:p>
          <w:p w14:paraId="4B7050DA" w14:textId="39530221" w:rsidR="005332E5" w:rsidRDefault="00911C56" w:rsidP="003C6EF2">
            <w:pPr>
              <w:spacing w:after="42"/>
            </w:pPr>
            <w:r w:rsidRPr="00911C56">
              <w:rPr>
                <w:b/>
                <w:sz w:val="20"/>
              </w:rPr>
              <w:t>Sarah Morrill</w:t>
            </w:r>
            <w:r w:rsidR="003C6EF2">
              <w:rPr>
                <w:b/>
                <w:sz w:val="20"/>
              </w:rPr>
              <w:t>,</w:t>
            </w:r>
            <w:r w:rsidR="00120956">
              <w:rPr>
                <w:b/>
                <w:sz w:val="20"/>
              </w:rPr>
              <w:t xml:space="preserve"> </w:t>
            </w:r>
            <w:r w:rsidR="00042686">
              <w:rPr>
                <w:b/>
                <w:sz w:val="20"/>
              </w:rPr>
              <w:t>RN</w:t>
            </w:r>
            <w:r w:rsidR="00120956">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9452140" w14:textId="77777777" w:rsidR="002574CD" w:rsidRDefault="002574CD" w:rsidP="00911C56">
            <w:pPr>
              <w:rPr>
                <w:color w:val="808080"/>
                <w:sz w:val="20"/>
              </w:rPr>
            </w:pPr>
          </w:p>
          <w:p w14:paraId="2EDA9722" w14:textId="2AA4A470" w:rsidR="005332E5" w:rsidRDefault="00911C56" w:rsidP="00911C56">
            <w:r>
              <w:rPr>
                <w:color w:val="808080"/>
                <w:sz w:val="20"/>
              </w:rPr>
              <w:t>8:45</w:t>
            </w:r>
            <w:r w:rsidR="003C6EF2">
              <w:rPr>
                <w:color w:val="808080"/>
                <w:sz w:val="20"/>
              </w:rPr>
              <w:t xml:space="preserve"> </w:t>
            </w:r>
            <w:r w:rsidR="00120956">
              <w:rPr>
                <w:color w:val="808080"/>
                <w:sz w:val="20"/>
              </w:rPr>
              <w:t>–</w:t>
            </w:r>
            <w:r w:rsidR="003C6EF2">
              <w:rPr>
                <w:color w:val="808080"/>
                <w:sz w:val="20"/>
              </w:rPr>
              <w:t xml:space="preserve"> </w:t>
            </w:r>
            <w:r>
              <w:rPr>
                <w:color w:val="808080"/>
                <w:sz w:val="20"/>
              </w:rPr>
              <w:t>9:00</w:t>
            </w:r>
            <w:r w:rsidR="00120956">
              <w:rPr>
                <w:color w:val="808080"/>
                <w:sz w:val="20"/>
              </w:rPr>
              <w:t xml:space="preserve"> AM   </w:t>
            </w:r>
          </w:p>
        </w:tc>
      </w:tr>
      <w:tr w:rsidR="0055048E" w14:paraId="648C396C" w14:textId="77777777" w:rsidTr="003C6EF2">
        <w:trPr>
          <w:trHeight w:val="1745"/>
        </w:trPr>
        <w:tc>
          <w:tcPr>
            <w:tcW w:w="5941" w:type="dxa"/>
            <w:gridSpan w:val="3"/>
            <w:tcBorders>
              <w:top w:val="single" w:sz="4" w:space="0" w:color="000000"/>
              <w:left w:val="single" w:sz="4" w:space="0" w:color="000000"/>
              <w:bottom w:val="single" w:sz="4" w:space="0" w:color="000000"/>
              <w:right w:val="single" w:sz="4" w:space="0" w:color="000000"/>
            </w:tcBorders>
          </w:tcPr>
          <w:p w14:paraId="5FD7AD8B" w14:textId="3F85261F" w:rsidR="0055048E" w:rsidRPr="00ED3EF9" w:rsidRDefault="0055048E" w:rsidP="0055048E">
            <w:pPr>
              <w:rPr>
                <w:sz w:val="20"/>
                <w:szCs w:val="20"/>
              </w:rPr>
            </w:pPr>
            <w:r w:rsidRPr="00ED3EF9">
              <w:rPr>
                <w:b/>
                <w:sz w:val="20"/>
                <w:szCs w:val="20"/>
              </w:rPr>
              <w:t>Healing Across the Divides</w:t>
            </w:r>
            <w:r w:rsidRPr="00ED3EF9">
              <w:rPr>
                <w:sz w:val="20"/>
                <w:szCs w:val="20"/>
              </w:rPr>
              <w:t xml:space="preserve"> </w:t>
            </w:r>
          </w:p>
          <w:p w14:paraId="702988FB" w14:textId="34533BBC" w:rsidR="0055048E" w:rsidRDefault="0055048E" w:rsidP="0055048E">
            <w:pPr>
              <w:rPr>
                <w:sz w:val="20"/>
                <w:szCs w:val="20"/>
              </w:rPr>
            </w:pPr>
            <w:r w:rsidRPr="00ED3EF9">
              <w:rPr>
                <w:sz w:val="20"/>
                <w:szCs w:val="20"/>
              </w:rPr>
              <w:t xml:space="preserve">This session will focus </w:t>
            </w:r>
            <w:r w:rsidR="00D5272C">
              <w:rPr>
                <w:sz w:val="20"/>
                <w:szCs w:val="20"/>
              </w:rPr>
              <w:t xml:space="preserve">on </w:t>
            </w:r>
            <w:r w:rsidRPr="00ED3EF9">
              <w:rPr>
                <w:sz w:val="20"/>
                <w:szCs w:val="20"/>
              </w:rPr>
              <w:t>the relatively new field of peace through health</w:t>
            </w:r>
            <w:r w:rsidR="002574CD">
              <w:rPr>
                <w:sz w:val="20"/>
                <w:szCs w:val="20"/>
              </w:rPr>
              <w:t>; highlighting the</w:t>
            </w:r>
            <w:r w:rsidRPr="00ED3EF9">
              <w:rPr>
                <w:sz w:val="20"/>
                <w:szCs w:val="20"/>
              </w:rPr>
              <w:t xml:space="preserve"> opportunities for this type of work in the Israeli-Palestinian conflict and the role that Healing Across the Divides has played in measurably improving the health of marginalized Israelis and Palestinians. </w:t>
            </w:r>
            <w:r>
              <w:rPr>
                <w:sz w:val="20"/>
                <w:szCs w:val="20"/>
              </w:rPr>
              <w:t>Primary care clinicians can learn about building peace through health in their own communities</w:t>
            </w:r>
            <w:r w:rsidR="002574CD">
              <w:rPr>
                <w:sz w:val="20"/>
                <w:szCs w:val="20"/>
              </w:rPr>
              <w:t xml:space="preserve"> from this work</w:t>
            </w:r>
            <w:r>
              <w:rPr>
                <w:sz w:val="20"/>
                <w:szCs w:val="20"/>
              </w:rPr>
              <w:t>.</w:t>
            </w:r>
          </w:p>
          <w:p w14:paraId="4E1980DA" w14:textId="77777777" w:rsidR="002574CD" w:rsidRDefault="002574CD" w:rsidP="0055048E">
            <w:pPr>
              <w:rPr>
                <w:sz w:val="20"/>
                <w:szCs w:val="20"/>
              </w:rPr>
            </w:pPr>
          </w:p>
          <w:p w14:paraId="0F5BFADC" w14:textId="77777777" w:rsidR="0055048E" w:rsidRDefault="0055048E" w:rsidP="00F8788A">
            <w:pPr>
              <w:rPr>
                <w:sz w:val="20"/>
                <w:szCs w:val="20"/>
              </w:rPr>
            </w:pPr>
            <w:r w:rsidRPr="00ED3EF9">
              <w:rPr>
                <w:sz w:val="20"/>
                <w:szCs w:val="20"/>
              </w:rPr>
              <w:t xml:space="preserve">By way of introduction, health professionals and community groups working in their professional capacity can contribute to </w:t>
            </w:r>
            <w:r w:rsidRPr="00ED3EF9">
              <w:rPr>
                <w:b/>
                <w:bCs/>
                <w:sz w:val="20"/>
                <w:szCs w:val="20"/>
              </w:rPr>
              <w:t xml:space="preserve">peace-building. </w:t>
            </w:r>
            <w:r w:rsidRPr="00ED3EF9">
              <w:rPr>
                <w:sz w:val="20"/>
                <w:szCs w:val="20"/>
              </w:rPr>
              <w:t>While there are opportunities for peace-building through health in a variety of conflicts throughout the world, there are increasing challenges to achieving this in the Israeli-Palestinian conflict. Healing Across the Divides (HATD</w:t>
            </w:r>
            <w:r w:rsidR="00D5272C">
              <w:rPr>
                <w:sz w:val="20"/>
                <w:szCs w:val="20"/>
              </w:rPr>
              <w:t xml:space="preserve">) </w:t>
            </w:r>
            <w:r w:rsidRPr="00ED3EF9">
              <w:rPr>
                <w:sz w:val="20"/>
                <w:szCs w:val="20"/>
              </w:rPr>
              <w:t>takes the long term perspective</w:t>
            </w:r>
            <w:r w:rsidR="00D5272C">
              <w:rPr>
                <w:sz w:val="20"/>
                <w:szCs w:val="20"/>
              </w:rPr>
              <w:t xml:space="preserve"> and this</w:t>
            </w:r>
            <w:r w:rsidRPr="00ED3EF9">
              <w:rPr>
                <w:sz w:val="20"/>
                <w:szCs w:val="20"/>
              </w:rPr>
              <w:t xml:space="preserve"> session</w:t>
            </w:r>
            <w:r w:rsidR="00D5272C">
              <w:rPr>
                <w:sz w:val="20"/>
                <w:szCs w:val="20"/>
              </w:rPr>
              <w:t xml:space="preserve"> will summarize</w:t>
            </w:r>
            <w:r w:rsidRPr="00ED3EF9">
              <w:rPr>
                <w:sz w:val="20"/>
                <w:szCs w:val="20"/>
              </w:rPr>
              <w:t xml:space="preserve"> HATD's work over the past 15 years in which it has identified, funded and worked with local community groups to improve health for over 100,000 marginalized Israelis and Palestinians. </w:t>
            </w:r>
          </w:p>
          <w:p w14:paraId="4377DBB8" w14:textId="52011A54" w:rsidR="00F8788A" w:rsidRPr="00D5272C" w:rsidRDefault="00F8788A" w:rsidP="00F8788A">
            <w:pPr>
              <w:rPr>
                <w:rFonts w:asciiTheme="minorHAnsi" w:eastAsia="Times New Roman" w:hAnsiTheme="minorHAnsi" w:cstheme="minorHAnsi"/>
                <w:color w:val="333333"/>
                <w:sz w:val="20"/>
                <w:szCs w:val="20"/>
              </w:rPr>
            </w:pPr>
          </w:p>
        </w:tc>
        <w:tc>
          <w:tcPr>
            <w:tcW w:w="2431" w:type="dxa"/>
            <w:tcBorders>
              <w:top w:val="single" w:sz="4" w:space="0" w:color="000000"/>
              <w:left w:val="single" w:sz="4" w:space="0" w:color="000000"/>
              <w:bottom w:val="single" w:sz="4" w:space="0" w:color="000000"/>
              <w:right w:val="single" w:sz="4" w:space="0" w:color="000000"/>
            </w:tcBorders>
          </w:tcPr>
          <w:p w14:paraId="245EA22E" w14:textId="3A8A35FE" w:rsidR="00CD464E" w:rsidRDefault="0055048E" w:rsidP="00CD464E">
            <w:pPr>
              <w:rPr>
                <w:rFonts w:asciiTheme="minorHAnsi" w:hAnsiTheme="minorHAnsi" w:cstheme="minorHAnsi"/>
                <w:b/>
                <w:sz w:val="20"/>
                <w:szCs w:val="20"/>
              </w:rPr>
            </w:pPr>
            <w:r w:rsidRPr="00CD464E">
              <w:rPr>
                <w:rFonts w:asciiTheme="minorHAnsi" w:hAnsiTheme="minorHAnsi" w:cstheme="minorHAnsi"/>
                <w:b/>
                <w:sz w:val="20"/>
                <w:szCs w:val="20"/>
              </w:rPr>
              <w:t>Nobert Goldfield</w:t>
            </w:r>
            <w:r w:rsidR="002574CD" w:rsidRPr="00CD464E">
              <w:rPr>
                <w:rFonts w:asciiTheme="minorHAnsi" w:hAnsiTheme="minorHAnsi" w:cstheme="minorHAnsi"/>
                <w:b/>
                <w:sz w:val="20"/>
                <w:szCs w:val="20"/>
              </w:rPr>
              <w:t>,</w:t>
            </w:r>
            <w:r w:rsidRPr="00CD464E">
              <w:rPr>
                <w:rFonts w:asciiTheme="minorHAnsi" w:hAnsiTheme="minorHAnsi" w:cstheme="minorHAnsi"/>
                <w:b/>
                <w:sz w:val="20"/>
                <w:szCs w:val="20"/>
              </w:rPr>
              <w:t xml:space="preserve"> MD</w:t>
            </w:r>
          </w:p>
          <w:p w14:paraId="6346251E" w14:textId="6F179E4B" w:rsidR="00CD464E" w:rsidRPr="00CD464E" w:rsidRDefault="00CD464E" w:rsidP="00CD464E">
            <w:pPr>
              <w:rPr>
                <w:rFonts w:asciiTheme="minorHAnsi" w:hAnsiTheme="minorHAnsi" w:cstheme="minorHAnsi"/>
                <w:b/>
                <w:sz w:val="20"/>
                <w:szCs w:val="20"/>
              </w:rPr>
            </w:pPr>
            <w:r>
              <w:rPr>
                <w:rFonts w:asciiTheme="minorHAnsi" w:hAnsiTheme="minorHAnsi" w:cstheme="minorHAnsi"/>
                <w:b/>
                <w:sz w:val="20"/>
                <w:szCs w:val="20"/>
              </w:rPr>
              <w:t>Founder &amp;</w:t>
            </w:r>
            <w:r w:rsidRPr="00CD464E">
              <w:rPr>
                <w:rFonts w:asciiTheme="minorHAnsi" w:hAnsiTheme="minorHAnsi" w:cstheme="minorHAnsi"/>
                <w:b/>
                <w:sz w:val="20"/>
                <w:szCs w:val="20"/>
              </w:rPr>
              <w:t xml:space="preserve"> CEO</w:t>
            </w:r>
            <w:r>
              <w:rPr>
                <w:rFonts w:asciiTheme="minorHAnsi" w:hAnsiTheme="minorHAnsi" w:cstheme="minorHAnsi"/>
                <w:b/>
                <w:sz w:val="20"/>
                <w:szCs w:val="20"/>
              </w:rPr>
              <w:t>,</w:t>
            </w:r>
            <w:r w:rsidRPr="00CD464E">
              <w:rPr>
                <w:rFonts w:asciiTheme="minorHAnsi" w:hAnsiTheme="minorHAnsi" w:cstheme="minorHAnsi"/>
                <w:b/>
                <w:sz w:val="20"/>
                <w:szCs w:val="20"/>
              </w:rPr>
              <w:t xml:space="preserve"> Healing Across the Divides Inc</w:t>
            </w:r>
            <w:r>
              <w:rPr>
                <w:rFonts w:asciiTheme="minorHAnsi" w:hAnsiTheme="minorHAnsi" w:cstheme="minorHAnsi"/>
                <w:b/>
                <w:sz w:val="20"/>
                <w:szCs w:val="20"/>
              </w:rPr>
              <w:t>.</w:t>
            </w:r>
          </w:p>
          <w:p w14:paraId="79E6B0D1" w14:textId="1F55CF19" w:rsidR="00CD464E" w:rsidRDefault="00CD464E" w:rsidP="00CD464E">
            <w:pPr>
              <w:pStyle w:val="address"/>
              <w:jc w:val="left"/>
              <w:rPr>
                <w:rFonts w:asciiTheme="minorHAnsi" w:hAnsiTheme="minorHAnsi" w:cstheme="minorHAnsi"/>
                <w:b/>
                <w:sz w:val="20"/>
                <w:szCs w:val="20"/>
              </w:rPr>
            </w:pPr>
            <w:r>
              <w:rPr>
                <w:rFonts w:asciiTheme="minorHAnsi" w:hAnsiTheme="minorHAnsi" w:cstheme="minorHAnsi"/>
                <w:b/>
                <w:sz w:val="20"/>
                <w:szCs w:val="20"/>
              </w:rPr>
              <w:t xml:space="preserve">Primary Care Provider, </w:t>
            </w:r>
            <w:r w:rsidRPr="00CD464E">
              <w:rPr>
                <w:rFonts w:asciiTheme="minorHAnsi" w:hAnsiTheme="minorHAnsi" w:cstheme="minorHAnsi"/>
                <w:b/>
                <w:sz w:val="20"/>
                <w:szCs w:val="20"/>
              </w:rPr>
              <w:t xml:space="preserve">Brightwood Riverview Health Center, Springfield, MA </w:t>
            </w:r>
          </w:p>
          <w:p w14:paraId="0069C20F" w14:textId="10050EF1" w:rsidR="00CD464E" w:rsidRPr="00CD464E" w:rsidRDefault="00CD464E" w:rsidP="00CD464E">
            <w:pPr>
              <w:pStyle w:val="address"/>
              <w:jc w:val="left"/>
              <w:rPr>
                <w:rFonts w:asciiTheme="minorHAnsi" w:hAnsiTheme="minorHAnsi" w:cstheme="minorHAnsi"/>
                <w:b/>
                <w:sz w:val="20"/>
                <w:szCs w:val="20"/>
              </w:rPr>
            </w:pPr>
            <w:r>
              <w:rPr>
                <w:rFonts w:asciiTheme="minorHAnsi" w:hAnsiTheme="minorHAnsi" w:cstheme="minorHAnsi"/>
                <w:b/>
                <w:sz w:val="20"/>
                <w:szCs w:val="20"/>
              </w:rPr>
              <w:t xml:space="preserve">Founder &amp; </w:t>
            </w:r>
            <w:r w:rsidRPr="00CD464E">
              <w:rPr>
                <w:rFonts w:asciiTheme="minorHAnsi" w:hAnsiTheme="minorHAnsi" w:cstheme="minorHAnsi"/>
                <w:b/>
                <w:sz w:val="20"/>
                <w:szCs w:val="20"/>
              </w:rPr>
              <w:t>CEO</w:t>
            </w:r>
            <w:r>
              <w:rPr>
                <w:rFonts w:asciiTheme="minorHAnsi" w:hAnsiTheme="minorHAnsi" w:cstheme="minorHAnsi"/>
                <w:b/>
                <w:sz w:val="20"/>
                <w:szCs w:val="20"/>
              </w:rPr>
              <w:t>,</w:t>
            </w:r>
            <w:r w:rsidRPr="00CD464E">
              <w:rPr>
                <w:rFonts w:asciiTheme="minorHAnsi" w:hAnsiTheme="minorHAnsi" w:cstheme="minorHAnsi"/>
                <w:b/>
                <w:sz w:val="20"/>
                <w:szCs w:val="20"/>
              </w:rPr>
              <w:t xml:space="preserve"> Ask Nurses and Doctors Inc </w:t>
            </w:r>
          </w:p>
          <w:p w14:paraId="26D60C21" w14:textId="74465E89" w:rsidR="0055048E" w:rsidRPr="00CD464E" w:rsidRDefault="00CD464E" w:rsidP="00CD464E">
            <w:pPr>
              <w:rPr>
                <w:b/>
                <w:sz w:val="20"/>
              </w:rPr>
            </w:pPr>
            <w:r w:rsidRPr="00CD464E">
              <w:rPr>
                <w:b/>
                <w:sz w:val="20"/>
              </w:rPr>
              <w:t xml:space="preserve"> </w:t>
            </w:r>
          </w:p>
          <w:p w14:paraId="473571AC" w14:textId="77777777" w:rsidR="0055048E" w:rsidRPr="00CD464E" w:rsidRDefault="002574CD" w:rsidP="002574CD">
            <w:pPr>
              <w:rPr>
                <w:b/>
                <w:sz w:val="20"/>
              </w:rPr>
            </w:pPr>
            <w:r w:rsidRPr="00CD464E">
              <w:rPr>
                <w:b/>
                <w:sz w:val="20"/>
              </w:rPr>
              <w:t>Intro by</w:t>
            </w:r>
            <w:r w:rsidR="0055048E" w:rsidRPr="00CD464E">
              <w:rPr>
                <w:b/>
                <w:sz w:val="20"/>
              </w:rPr>
              <w:t xml:space="preserve"> Noah Nesin</w:t>
            </w:r>
            <w:r w:rsidRPr="00CD464E">
              <w:rPr>
                <w:b/>
                <w:sz w:val="20"/>
              </w:rPr>
              <w:t>, MD</w:t>
            </w:r>
          </w:p>
          <w:p w14:paraId="6834EA72" w14:textId="44C73CBA" w:rsidR="002574CD" w:rsidRPr="00CD464E" w:rsidRDefault="002574CD" w:rsidP="002574CD">
            <w:pPr>
              <w:rPr>
                <w:b/>
              </w:rPr>
            </w:pPr>
            <w:r w:rsidRPr="00CD464E">
              <w:rPr>
                <w:b/>
                <w:sz w:val="20"/>
              </w:rPr>
              <w:t>PCHC</w:t>
            </w:r>
          </w:p>
        </w:tc>
        <w:tc>
          <w:tcPr>
            <w:tcW w:w="2521" w:type="dxa"/>
            <w:tcBorders>
              <w:top w:val="single" w:sz="4" w:space="0" w:color="000000"/>
              <w:left w:val="single" w:sz="4" w:space="0" w:color="000000"/>
              <w:bottom w:val="single" w:sz="4" w:space="0" w:color="000000"/>
              <w:right w:val="single" w:sz="4" w:space="0" w:color="000000"/>
            </w:tcBorders>
          </w:tcPr>
          <w:p w14:paraId="511317FE" w14:textId="1ABDD1A8" w:rsidR="0055048E" w:rsidRDefault="0055048E" w:rsidP="00F8788A">
            <w:r>
              <w:rPr>
                <w:color w:val="808080"/>
                <w:sz w:val="20"/>
              </w:rPr>
              <w:t>9:00 – 10:30</w:t>
            </w:r>
            <w:r w:rsidR="00F8788A">
              <w:rPr>
                <w:color w:val="808080"/>
                <w:sz w:val="20"/>
              </w:rPr>
              <w:t xml:space="preserve"> AM</w:t>
            </w:r>
          </w:p>
        </w:tc>
      </w:tr>
      <w:tr w:rsidR="0055048E" w14:paraId="6A7EB6EC" w14:textId="77777777" w:rsidTr="005528AE">
        <w:trPr>
          <w:trHeight w:val="2096"/>
        </w:trPr>
        <w:tc>
          <w:tcPr>
            <w:tcW w:w="5941" w:type="dxa"/>
            <w:gridSpan w:val="3"/>
            <w:tcBorders>
              <w:top w:val="single" w:sz="4" w:space="0" w:color="000000"/>
              <w:left w:val="single" w:sz="4" w:space="0" w:color="000000"/>
              <w:bottom w:val="single" w:sz="4" w:space="0" w:color="000000"/>
              <w:right w:val="single" w:sz="4" w:space="0" w:color="000000"/>
            </w:tcBorders>
          </w:tcPr>
          <w:p w14:paraId="5D4E569F" w14:textId="326BBFEB" w:rsidR="0055048E" w:rsidRDefault="0055048E" w:rsidP="0055048E">
            <w:pPr>
              <w:spacing w:after="38"/>
              <w:rPr>
                <w:b/>
                <w:sz w:val="20"/>
              </w:rPr>
            </w:pPr>
            <w:r>
              <w:rPr>
                <w:b/>
                <w:sz w:val="20"/>
              </w:rPr>
              <w:lastRenderedPageBreak/>
              <w:t>Everyone with Diabetes Counts</w:t>
            </w:r>
          </w:p>
          <w:p w14:paraId="312A0221" w14:textId="10120014" w:rsidR="00E61A13" w:rsidRPr="005A1D7E" w:rsidRDefault="0055048E" w:rsidP="00F8788A">
            <w:pPr>
              <w:rPr>
                <w:b/>
                <w:sz w:val="20"/>
              </w:rPr>
            </w:pPr>
            <w:r w:rsidRPr="00F8788A">
              <w:rPr>
                <w:rFonts w:asciiTheme="minorHAnsi" w:eastAsia="Times New Roman" w:hAnsiTheme="minorHAnsi" w:cstheme="minorHAnsi"/>
                <w:color w:val="auto"/>
                <w:sz w:val="20"/>
                <w:szCs w:val="20"/>
              </w:rPr>
              <w:t xml:space="preserve">Everyone with Diabetes Counts (EDC) is a disparity reduction program. The goals of the program are to improve health equity by improving </w:t>
            </w:r>
            <w:hyperlink r:id="rId5" w:anchor="Health_literacy" w:history="1">
              <w:r w:rsidRPr="00F8788A">
                <w:rPr>
                  <w:rFonts w:asciiTheme="minorHAnsi" w:eastAsia="Times New Roman" w:hAnsiTheme="minorHAnsi" w:cstheme="minorHAnsi"/>
                  <w:color w:val="auto"/>
                  <w:sz w:val="20"/>
                  <w:szCs w:val="20"/>
                </w:rPr>
                <w:t>health literacy</w:t>
              </w:r>
            </w:hyperlink>
            <w:r w:rsidRPr="00F8788A">
              <w:rPr>
                <w:rFonts w:asciiTheme="minorHAnsi" w:eastAsia="Times New Roman" w:hAnsiTheme="minorHAnsi" w:cstheme="minorHAnsi"/>
                <w:color w:val="auto"/>
                <w:sz w:val="20"/>
                <w:szCs w:val="20"/>
              </w:rPr>
              <w:t xml:space="preserve"> and quality of care among people with diabetes and pre-diabetes, including Medicare beneficiaries and individuals dually eligible for both Medicare and Medicaid. This presentations will include best-practices and evidence based strategies for engaging patients to become active participants in their care. </w:t>
            </w:r>
            <w:r w:rsidR="00E61A13">
              <w:rPr>
                <w:rFonts w:asciiTheme="minorHAnsi" w:eastAsia="Times New Roman" w:hAnsiTheme="minorHAnsi" w:cstheme="minorHAnsi"/>
                <w:color w:val="333333"/>
                <w:sz w:val="20"/>
                <w:szCs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7878E1CE" w14:textId="07EBD4C1" w:rsidR="0055048E" w:rsidRDefault="005528AE" w:rsidP="0055048E">
            <w:pPr>
              <w:rPr>
                <w:b/>
                <w:sz w:val="20"/>
              </w:rPr>
            </w:pPr>
            <w:r>
              <w:rPr>
                <w:b/>
                <w:sz w:val="20"/>
              </w:rPr>
              <w:t>Amy Bennett, BS, LMT</w:t>
            </w:r>
          </w:p>
          <w:p w14:paraId="7D4D9786" w14:textId="0BA335E9" w:rsidR="005528AE" w:rsidRDefault="005528AE" w:rsidP="0055048E">
            <w:pPr>
              <w:rPr>
                <w:b/>
                <w:sz w:val="20"/>
              </w:rPr>
            </w:pPr>
            <w:r>
              <w:rPr>
                <w:b/>
                <w:sz w:val="20"/>
              </w:rPr>
              <w:t>Program Coordinator</w:t>
            </w:r>
          </w:p>
          <w:p w14:paraId="33A08C46" w14:textId="3C61643E" w:rsidR="0055048E" w:rsidRDefault="00D5272C" w:rsidP="0045777A">
            <w:pPr>
              <w:rPr>
                <w:b/>
                <w:sz w:val="20"/>
              </w:rPr>
            </w:pPr>
            <w:r>
              <w:rPr>
                <w:b/>
                <w:sz w:val="20"/>
              </w:rPr>
              <w:t>New England</w:t>
            </w:r>
            <w:r w:rsidR="0055048E">
              <w:rPr>
                <w:b/>
                <w:sz w:val="20"/>
              </w:rPr>
              <w:t xml:space="preserve"> QIN/QIO</w:t>
            </w:r>
            <w:r>
              <w:rPr>
                <w:b/>
                <w:sz w:val="20"/>
              </w:rPr>
              <w:t xml:space="preserve"> (administered by Healthcentric Advisors)</w:t>
            </w:r>
          </w:p>
        </w:tc>
        <w:tc>
          <w:tcPr>
            <w:tcW w:w="2521" w:type="dxa"/>
            <w:tcBorders>
              <w:top w:val="single" w:sz="4" w:space="0" w:color="000000"/>
              <w:left w:val="single" w:sz="4" w:space="0" w:color="000000"/>
              <w:bottom w:val="single" w:sz="4" w:space="0" w:color="000000"/>
              <w:right w:val="single" w:sz="4" w:space="0" w:color="000000"/>
            </w:tcBorders>
          </w:tcPr>
          <w:p w14:paraId="31321C91" w14:textId="756689A7" w:rsidR="0055048E" w:rsidRDefault="0055048E" w:rsidP="0055048E">
            <w:pPr>
              <w:rPr>
                <w:color w:val="808080"/>
                <w:sz w:val="20"/>
              </w:rPr>
            </w:pPr>
            <w:r>
              <w:rPr>
                <w:color w:val="808080"/>
                <w:sz w:val="20"/>
              </w:rPr>
              <w:t>10:30</w:t>
            </w:r>
            <w:r w:rsidR="00D5272C">
              <w:rPr>
                <w:color w:val="808080"/>
                <w:sz w:val="20"/>
              </w:rPr>
              <w:t xml:space="preserve"> </w:t>
            </w:r>
            <w:r>
              <w:rPr>
                <w:color w:val="808080"/>
                <w:sz w:val="20"/>
              </w:rPr>
              <w:t>-</w:t>
            </w:r>
            <w:r w:rsidR="00F8788A">
              <w:rPr>
                <w:color w:val="808080"/>
                <w:sz w:val="20"/>
              </w:rPr>
              <w:t xml:space="preserve"> </w:t>
            </w:r>
            <w:r>
              <w:rPr>
                <w:color w:val="808080"/>
                <w:sz w:val="20"/>
              </w:rPr>
              <w:t xml:space="preserve">11:30 AM </w:t>
            </w:r>
          </w:p>
        </w:tc>
      </w:tr>
      <w:tr w:rsidR="0055048E" w14:paraId="06C708AF" w14:textId="77777777" w:rsidTr="003C6EF2">
        <w:trPr>
          <w:trHeight w:val="375"/>
        </w:trPr>
        <w:tc>
          <w:tcPr>
            <w:tcW w:w="5941" w:type="dxa"/>
            <w:gridSpan w:val="3"/>
            <w:tcBorders>
              <w:top w:val="single" w:sz="4" w:space="0" w:color="000000"/>
              <w:left w:val="single" w:sz="4" w:space="0" w:color="000000"/>
              <w:bottom w:val="single" w:sz="4" w:space="0" w:color="000000"/>
              <w:right w:val="single" w:sz="4" w:space="0" w:color="000000"/>
            </w:tcBorders>
          </w:tcPr>
          <w:p w14:paraId="7283CF61" w14:textId="5F140609" w:rsidR="0055048E" w:rsidRDefault="0055048E" w:rsidP="0055048E">
            <w:r>
              <w:rPr>
                <w:b/>
                <w:sz w:val="20"/>
              </w:rPr>
              <w:t>Lunch</w:t>
            </w:r>
          </w:p>
        </w:tc>
        <w:tc>
          <w:tcPr>
            <w:tcW w:w="2431" w:type="dxa"/>
            <w:tcBorders>
              <w:top w:val="single" w:sz="4" w:space="0" w:color="000000"/>
              <w:left w:val="single" w:sz="4" w:space="0" w:color="000000"/>
              <w:bottom w:val="single" w:sz="4" w:space="0" w:color="000000"/>
              <w:right w:val="single" w:sz="4" w:space="0" w:color="000000"/>
            </w:tcBorders>
          </w:tcPr>
          <w:p w14:paraId="45B7B2B3" w14:textId="77777777" w:rsidR="0055048E" w:rsidRDefault="0055048E" w:rsidP="0055048E">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34F5D9C" w14:textId="351B953D" w:rsidR="0055048E" w:rsidRDefault="0055048E" w:rsidP="00F8788A">
            <w:r>
              <w:rPr>
                <w:color w:val="808080"/>
                <w:sz w:val="20"/>
              </w:rPr>
              <w:t>11:30</w:t>
            </w:r>
            <w:r w:rsidR="00F8788A">
              <w:rPr>
                <w:color w:val="808080"/>
                <w:sz w:val="20"/>
              </w:rPr>
              <w:t xml:space="preserve"> - </w:t>
            </w:r>
            <w:r>
              <w:rPr>
                <w:color w:val="808080"/>
                <w:sz w:val="20"/>
              </w:rPr>
              <w:t xml:space="preserve">12:30 PM </w:t>
            </w:r>
          </w:p>
        </w:tc>
      </w:tr>
      <w:tr w:rsidR="0055048E" w14:paraId="5A0A0496" w14:textId="77777777" w:rsidTr="00F8788A">
        <w:trPr>
          <w:trHeight w:val="2672"/>
        </w:trPr>
        <w:tc>
          <w:tcPr>
            <w:tcW w:w="5941" w:type="dxa"/>
            <w:gridSpan w:val="3"/>
            <w:tcBorders>
              <w:top w:val="single" w:sz="4" w:space="0" w:color="000000"/>
              <w:left w:val="single" w:sz="4" w:space="0" w:color="000000"/>
              <w:bottom w:val="single" w:sz="4" w:space="0" w:color="000000"/>
              <w:right w:val="single" w:sz="4" w:space="0" w:color="000000"/>
            </w:tcBorders>
          </w:tcPr>
          <w:p w14:paraId="3DA1F3EB" w14:textId="77777777" w:rsidR="00F862F0" w:rsidRDefault="00F862F0" w:rsidP="00F862F0">
            <w:pPr>
              <w:spacing w:after="40" w:line="242" w:lineRule="auto"/>
            </w:pPr>
            <w:r>
              <w:rPr>
                <w:b/>
                <w:sz w:val="20"/>
              </w:rPr>
              <w:t xml:space="preserve">Oral Health and Chronic Disease </w:t>
            </w:r>
          </w:p>
          <w:p w14:paraId="548633CD" w14:textId="77777777" w:rsidR="00F862F0" w:rsidRDefault="00F862F0" w:rsidP="00F862F0">
            <w:pPr>
              <w:spacing w:after="40" w:line="242" w:lineRule="auto"/>
              <w:rPr>
                <w:rFonts w:asciiTheme="minorHAnsi" w:hAnsiTheme="minorHAnsi" w:cstheme="minorHAnsi"/>
                <w:color w:val="auto"/>
                <w:sz w:val="20"/>
                <w:szCs w:val="20"/>
              </w:rPr>
            </w:pPr>
            <w:r w:rsidRPr="002F0017">
              <w:rPr>
                <w:rFonts w:asciiTheme="minorHAnsi" w:hAnsiTheme="minorHAnsi" w:cstheme="minorHAnsi"/>
                <w:color w:val="auto"/>
                <w:sz w:val="20"/>
                <w:szCs w:val="20"/>
              </w:rPr>
              <w:t xml:space="preserve">Oral health is an integral part of overall health. The delivery of oral health care must be integrated into a broader health care delivery with a focus on prevention. Since safety-net oral health programs provide services to underserved populations with a heavy burden of disease, it is important that they provide quality, evidence-based care.  </w:t>
            </w:r>
          </w:p>
          <w:p w14:paraId="6E2274CE" w14:textId="77777777" w:rsidR="00F862F0" w:rsidRDefault="00F862F0" w:rsidP="00F862F0">
            <w:pPr>
              <w:spacing w:after="40" w:line="242" w:lineRule="auto"/>
              <w:rPr>
                <w:rFonts w:asciiTheme="minorHAnsi" w:hAnsiTheme="minorHAnsi" w:cstheme="minorHAnsi"/>
                <w:color w:val="auto"/>
                <w:sz w:val="20"/>
                <w:szCs w:val="20"/>
              </w:rPr>
            </w:pPr>
          </w:p>
          <w:p w14:paraId="5F594326" w14:textId="3AE7E31F" w:rsidR="0055048E" w:rsidRPr="00ED3EF9" w:rsidRDefault="00F862F0" w:rsidP="00F862F0">
            <w:pPr>
              <w:spacing w:after="40" w:line="242" w:lineRule="auto"/>
              <w:rPr>
                <w:sz w:val="20"/>
                <w:szCs w:val="20"/>
              </w:rPr>
            </w:pPr>
            <w:r w:rsidRPr="002F0017">
              <w:rPr>
                <w:rFonts w:asciiTheme="minorHAnsi" w:hAnsiTheme="minorHAnsi" w:cstheme="minorHAnsi"/>
                <w:color w:val="auto"/>
                <w:sz w:val="20"/>
                <w:szCs w:val="20"/>
              </w:rPr>
              <w:t>This presentation will provide structure, options, and suggestions to help Health Centers develop programs to implement oral health competencies which integrate oral health care into primary care practice, increasing access to oral health care and improving the oral he</w:t>
            </w:r>
            <w:r>
              <w:rPr>
                <w:rFonts w:asciiTheme="minorHAnsi" w:hAnsiTheme="minorHAnsi" w:cstheme="minorHAnsi"/>
                <w:color w:val="auto"/>
                <w:sz w:val="20"/>
                <w:szCs w:val="20"/>
              </w:rPr>
              <w:t xml:space="preserve">alth status of the populations </w:t>
            </w:r>
            <w:r w:rsidRPr="002F0017">
              <w:rPr>
                <w:rFonts w:asciiTheme="minorHAnsi" w:hAnsiTheme="minorHAnsi" w:cstheme="minorHAnsi"/>
                <w:color w:val="auto"/>
                <w:sz w:val="20"/>
                <w:szCs w:val="20"/>
              </w:rPr>
              <w:t>Health Centers serve.</w:t>
            </w:r>
          </w:p>
        </w:tc>
        <w:tc>
          <w:tcPr>
            <w:tcW w:w="2431" w:type="dxa"/>
            <w:tcBorders>
              <w:top w:val="single" w:sz="4" w:space="0" w:color="000000"/>
              <w:left w:val="single" w:sz="4" w:space="0" w:color="000000"/>
              <w:bottom w:val="single" w:sz="4" w:space="0" w:color="000000"/>
              <w:right w:val="single" w:sz="4" w:space="0" w:color="000000"/>
            </w:tcBorders>
          </w:tcPr>
          <w:p w14:paraId="4606AA66" w14:textId="2F44359E" w:rsidR="0045777A" w:rsidRPr="0045777A" w:rsidRDefault="0045777A" w:rsidP="0045777A">
            <w:pPr>
              <w:rPr>
                <w:rFonts w:asciiTheme="minorHAnsi" w:eastAsiaTheme="minorHAnsi" w:hAnsiTheme="minorHAnsi" w:cstheme="minorHAnsi"/>
                <w:b/>
                <w:bCs/>
                <w:color w:val="auto"/>
                <w:sz w:val="20"/>
                <w:szCs w:val="20"/>
              </w:rPr>
            </w:pPr>
            <w:r>
              <w:rPr>
                <w:b/>
                <w:sz w:val="20"/>
              </w:rPr>
              <w:t>Holly Kingsbu</w:t>
            </w:r>
            <w:r w:rsidRPr="0045777A">
              <w:rPr>
                <w:rFonts w:asciiTheme="minorHAnsi" w:hAnsiTheme="minorHAnsi" w:cstheme="minorHAnsi"/>
                <w:b/>
                <w:color w:val="auto"/>
                <w:sz w:val="20"/>
                <w:szCs w:val="20"/>
              </w:rPr>
              <w:t>ry</w:t>
            </w:r>
            <w:r>
              <w:rPr>
                <w:rFonts w:asciiTheme="minorHAnsi" w:hAnsiTheme="minorHAnsi" w:cstheme="minorHAnsi"/>
                <w:b/>
                <w:color w:val="auto"/>
                <w:sz w:val="20"/>
                <w:szCs w:val="20"/>
              </w:rPr>
              <w:t>,</w:t>
            </w:r>
            <w:r w:rsidRPr="0045777A">
              <w:rPr>
                <w:rFonts w:asciiTheme="minorHAnsi" w:hAnsiTheme="minorHAnsi" w:cstheme="minorHAnsi"/>
                <w:b/>
                <w:color w:val="auto"/>
                <w:sz w:val="20"/>
                <w:szCs w:val="20"/>
              </w:rPr>
              <w:t xml:space="preserve"> </w:t>
            </w:r>
            <w:r w:rsidRPr="0045777A">
              <w:rPr>
                <w:rFonts w:asciiTheme="minorHAnsi" w:hAnsiTheme="minorHAnsi" w:cstheme="minorHAnsi"/>
                <w:b/>
                <w:bCs/>
                <w:color w:val="auto"/>
                <w:sz w:val="20"/>
                <w:szCs w:val="20"/>
              </w:rPr>
              <w:t>MPH</w:t>
            </w:r>
          </w:p>
          <w:p w14:paraId="08C3E293" w14:textId="28DF193F" w:rsidR="0045777A" w:rsidRDefault="0045777A" w:rsidP="0045777A">
            <w:pPr>
              <w:rPr>
                <w:rFonts w:asciiTheme="minorHAnsi" w:hAnsiTheme="minorHAnsi" w:cstheme="minorHAnsi"/>
                <w:b/>
                <w:bCs/>
                <w:color w:val="auto"/>
                <w:sz w:val="20"/>
                <w:szCs w:val="20"/>
              </w:rPr>
            </w:pPr>
            <w:r w:rsidRPr="0045777A">
              <w:rPr>
                <w:rFonts w:asciiTheme="minorHAnsi" w:hAnsiTheme="minorHAnsi" w:cstheme="minorHAnsi"/>
                <w:b/>
                <w:color w:val="auto"/>
                <w:sz w:val="20"/>
                <w:szCs w:val="20"/>
              </w:rPr>
              <w:t xml:space="preserve">Oral Health Program Manager, </w:t>
            </w:r>
            <w:r w:rsidRPr="0045777A">
              <w:rPr>
                <w:rFonts w:asciiTheme="minorHAnsi" w:hAnsiTheme="minorHAnsi" w:cstheme="minorHAnsi"/>
                <w:b/>
                <w:bCs/>
                <w:color w:val="auto"/>
                <w:sz w:val="20"/>
                <w:szCs w:val="20"/>
              </w:rPr>
              <w:t>C</w:t>
            </w:r>
            <w:r>
              <w:rPr>
                <w:rFonts w:asciiTheme="minorHAnsi" w:hAnsiTheme="minorHAnsi" w:cstheme="minorHAnsi"/>
                <w:b/>
                <w:bCs/>
                <w:color w:val="auto"/>
                <w:sz w:val="20"/>
                <w:szCs w:val="20"/>
              </w:rPr>
              <w:t xml:space="preserve">O </w:t>
            </w:r>
            <w:r w:rsidRPr="0045777A">
              <w:rPr>
                <w:rFonts w:asciiTheme="minorHAnsi" w:hAnsiTheme="minorHAnsi" w:cstheme="minorHAnsi"/>
                <w:b/>
                <w:bCs/>
                <w:color w:val="auto"/>
                <w:sz w:val="20"/>
                <w:szCs w:val="20"/>
              </w:rPr>
              <w:t>Community Health</w:t>
            </w:r>
            <w:r w:rsidRPr="0045777A">
              <w:rPr>
                <w:rFonts w:asciiTheme="minorHAnsi" w:hAnsiTheme="minorHAnsi" w:cstheme="minorHAnsi"/>
                <w:color w:val="auto"/>
                <w:sz w:val="20"/>
                <w:szCs w:val="20"/>
              </w:rPr>
              <w:t xml:space="preserve"> </w:t>
            </w:r>
            <w:r w:rsidRPr="0045777A">
              <w:rPr>
                <w:rFonts w:asciiTheme="minorHAnsi" w:hAnsiTheme="minorHAnsi" w:cstheme="minorHAnsi"/>
                <w:b/>
                <w:bCs/>
                <w:color w:val="auto"/>
                <w:sz w:val="20"/>
                <w:szCs w:val="20"/>
              </w:rPr>
              <w:t>Network  </w:t>
            </w:r>
          </w:p>
          <w:p w14:paraId="11D846ED" w14:textId="77777777" w:rsidR="0045777A" w:rsidRPr="0045777A" w:rsidRDefault="0045777A" w:rsidP="0045777A">
            <w:pPr>
              <w:rPr>
                <w:rFonts w:asciiTheme="minorHAnsi" w:hAnsiTheme="minorHAnsi" w:cstheme="minorHAnsi"/>
                <w:color w:val="auto"/>
                <w:sz w:val="20"/>
                <w:szCs w:val="20"/>
              </w:rPr>
            </w:pPr>
          </w:p>
          <w:p w14:paraId="101F1E1B" w14:textId="77777777" w:rsidR="0045777A" w:rsidRDefault="0045777A" w:rsidP="0045777A">
            <w:pPr>
              <w:rPr>
                <w:rFonts w:asciiTheme="minorHAnsi" w:hAnsiTheme="minorHAnsi" w:cstheme="minorHAnsi"/>
                <w:b/>
                <w:color w:val="auto"/>
                <w:sz w:val="20"/>
                <w:szCs w:val="20"/>
              </w:rPr>
            </w:pPr>
            <w:r w:rsidRPr="0045777A">
              <w:rPr>
                <w:rFonts w:asciiTheme="minorHAnsi" w:hAnsiTheme="minorHAnsi" w:cstheme="minorHAnsi"/>
                <w:b/>
                <w:color w:val="auto"/>
                <w:sz w:val="20"/>
                <w:szCs w:val="20"/>
              </w:rPr>
              <w:t>Carol Niforatos, MD Colorado Coalition for the Homeless</w:t>
            </w:r>
          </w:p>
          <w:p w14:paraId="72C7D469" w14:textId="77777777" w:rsidR="0045777A" w:rsidRDefault="0045777A" w:rsidP="0045777A">
            <w:pPr>
              <w:rPr>
                <w:rFonts w:asciiTheme="minorHAnsi" w:hAnsiTheme="minorHAnsi" w:cstheme="minorHAnsi"/>
                <w:b/>
                <w:color w:val="auto"/>
                <w:sz w:val="20"/>
                <w:szCs w:val="20"/>
              </w:rPr>
            </w:pPr>
          </w:p>
          <w:p w14:paraId="2E83349B" w14:textId="77777777" w:rsidR="0045777A" w:rsidRPr="0045777A" w:rsidRDefault="0045777A" w:rsidP="0045777A">
            <w:pPr>
              <w:rPr>
                <w:rFonts w:asciiTheme="minorHAnsi" w:hAnsiTheme="minorHAnsi" w:cstheme="minorHAnsi"/>
                <w:b/>
                <w:color w:val="auto"/>
                <w:sz w:val="20"/>
                <w:szCs w:val="20"/>
              </w:rPr>
            </w:pPr>
            <w:r w:rsidRPr="0045777A">
              <w:rPr>
                <w:rFonts w:asciiTheme="minorHAnsi" w:hAnsiTheme="minorHAnsi" w:cstheme="minorHAnsi"/>
                <w:b/>
                <w:color w:val="auto"/>
                <w:sz w:val="20"/>
                <w:szCs w:val="20"/>
              </w:rPr>
              <w:t xml:space="preserve">Amanda Ozee, </w:t>
            </w:r>
          </w:p>
          <w:p w14:paraId="7E71EE2E" w14:textId="3EAF7B63" w:rsidR="0055048E" w:rsidRPr="0045777A" w:rsidRDefault="0045777A" w:rsidP="0045777A">
            <w:pPr>
              <w:rPr>
                <w:rFonts w:asciiTheme="minorHAnsi" w:hAnsiTheme="minorHAnsi" w:cstheme="minorHAnsi"/>
                <w:b/>
                <w:sz w:val="20"/>
                <w:szCs w:val="20"/>
              </w:rPr>
            </w:pPr>
            <w:r w:rsidRPr="0045777A">
              <w:rPr>
                <w:rFonts w:asciiTheme="minorHAnsi" w:hAnsiTheme="minorHAnsi" w:cstheme="minorHAnsi"/>
                <w:b/>
                <w:color w:val="auto"/>
                <w:sz w:val="20"/>
                <w:szCs w:val="20"/>
              </w:rPr>
              <w:t>CO Department of Public Health and Environment</w:t>
            </w:r>
          </w:p>
        </w:tc>
        <w:tc>
          <w:tcPr>
            <w:tcW w:w="2521" w:type="dxa"/>
            <w:tcBorders>
              <w:top w:val="single" w:sz="4" w:space="0" w:color="000000"/>
              <w:left w:val="single" w:sz="4" w:space="0" w:color="000000"/>
              <w:bottom w:val="single" w:sz="4" w:space="0" w:color="000000"/>
              <w:right w:val="single" w:sz="4" w:space="0" w:color="000000"/>
            </w:tcBorders>
          </w:tcPr>
          <w:p w14:paraId="07D1EA6B" w14:textId="77777777" w:rsidR="0055048E" w:rsidRDefault="005A1D7E" w:rsidP="0055048E">
            <w:pPr>
              <w:rPr>
                <w:color w:val="808080"/>
                <w:sz w:val="20"/>
              </w:rPr>
            </w:pPr>
            <w:r>
              <w:rPr>
                <w:color w:val="808080"/>
                <w:sz w:val="20"/>
              </w:rPr>
              <w:t>12:30</w:t>
            </w:r>
            <w:r w:rsidR="00F8788A">
              <w:rPr>
                <w:color w:val="808080"/>
                <w:sz w:val="20"/>
              </w:rPr>
              <w:t xml:space="preserve"> </w:t>
            </w:r>
            <w:r>
              <w:rPr>
                <w:color w:val="808080"/>
                <w:sz w:val="20"/>
              </w:rPr>
              <w:t>-</w:t>
            </w:r>
            <w:r w:rsidR="00F8788A">
              <w:rPr>
                <w:color w:val="808080"/>
                <w:sz w:val="20"/>
              </w:rPr>
              <w:t xml:space="preserve"> </w:t>
            </w:r>
            <w:r>
              <w:rPr>
                <w:color w:val="808080"/>
                <w:sz w:val="20"/>
              </w:rPr>
              <w:t>1:30</w:t>
            </w:r>
            <w:r w:rsidR="0055048E">
              <w:rPr>
                <w:color w:val="808080"/>
                <w:sz w:val="20"/>
              </w:rPr>
              <w:t xml:space="preserve"> PM   </w:t>
            </w:r>
          </w:p>
          <w:p w14:paraId="6DE25889" w14:textId="77777777" w:rsidR="00F8788A" w:rsidRDefault="00F8788A" w:rsidP="0055048E">
            <w:pPr>
              <w:rPr>
                <w:color w:val="808080"/>
                <w:sz w:val="20"/>
              </w:rPr>
            </w:pPr>
          </w:p>
          <w:p w14:paraId="753F7D12" w14:textId="77777777" w:rsidR="00F8788A" w:rsidRDefault="00F8788A" w:rsidP="0055048E">
            <w:pPr>
              <w:rPr>
                <w:color w:val="808080"/>
                <w:sz w:val="20"/>
              </w:rPr>
            </w:pPr>
          </w:p>
          <w:p w14:paraId="72FB55E8" w14:textId="77777777" w:rsidR="00F8788A" w:rsidRDefault="00F8788A" w:rsidP="0055048E">
            <w:pPr>
              <w:rPr>
                <w:color w:val="808080"/>
                <w:sz w:val="20"/>
              </w:rPr>
            </w:pPr>
          </w:p>
          <w:p w14:paraId="73CB51B2" w14:textId="06F2EBE2" w:rsidR="00F8788A" w:rsidRDefault="00F8788A" w:rsidP="0055048E"/>
        </w:tc>
      </w:tr>
      <w:tr w:rsidR="0055048E" w14:paraId="0D70B89D" w14:textId="77777777" w:rsidTr="00F8788A">
        <w:trPr>
          <w:trHeight w:val="1835"/>
        </w:trPr>
        <w:tc>
          <w:tcPr>
            <w:tcW w:w="5941" w:type="dxa"/>
            <w:gridSpan w:val="3"/>
            <w:tcBorders>
              <w:top w:val="single" w:sz="4" w:space="0" w:color="000000"/>
              <w:left w:val="single" w:sz="4" w:space="0" w:color="000000"/>
              <w:bottom w:val="single" w:sz="4" w:space="0" w:color="000000"/>
              <w:right w:val="single" w:sz="4" w:space="0" w:color="000000"/>
            </w:tcBorders>
          </w:tcPr>
          <w:p w14:paraId="29C2E4B7" w14:textId="77777777" w:rsidR="0055048E" w:rsidRPr="0055048E" w:rsidRDefault="0055048E" w:rsidP="0055048E">
            <w:pPr>
              <w:rPr>
                <w:rFonts w:asciiTheme="minorHAnsi" w:hAnsiTheme="minorHAnsi" w:cstheme="minorHAnsi"/>
                <w:b/>
                <w:sz w:val="20"/>
                <w:szCs w:val="20"/>
              </w:rPr>
            </w:pPr>
            <w:r w:rsidRPr="0055048E">
              <w:rPr>
                <w:rFonts w:asciiTheme="minorHAnsi" w:hAnsiTheme="minorHAnsi" w:cstheme="minorHAnsi"/>
                <w:b/>
                <w:sz w:val="20"/>
                <w:szCs w:val="20"/>
              </w:rPr>
              <w:t xml:space="preserve">The Life Course Approach to Maternal Child Health </w:t>
            </w:r>
          </w:p>
          <w:p w14:paraId="6BC7D0EE" w14:textId="77777777" w:rsidR="00E61A13" w:rsidRDefault="0055048E" w:rsidP="00F8788A">
            <w:pPr>
              <w:rPr>
                <w:rFonts w:asciiTheme="minorHAnsi" w:hAnsiTheme="minorHAnsi" w:cstheme="minorHAnsi"/>
                <w:color w:val="auto"/>
                <w:sz w:val="20"/>
                <w:szCs w:val="20"/>
              </w:rPr>
            </w:pPr>
            <w:r w:rsidRPr="00F8788A">
              <w:rPr>
                <w:rFonts w:asciiTheme="minorHAnsi" w:hAnsiTheme="minorHAnsi" w:cstheme="minorHAnsi"/>
                <w:color w:val="auto"/>
                <w:sz w:val="20"/>
                <w:szCs w:val="20"/>
              </w:rPr>
              <w:t>The life course approach to conceptualizing health care needs and services evolved from research documenting the important role early life events play in shaping an individual’s health trajectory. The interplay of risk and protective factors, such as socioeconomic status, toxic environmental exposures, health behaviors, stress, and nutrition, influence health throughout one’s lifetime.</w:t>
            </w:r>
          </w:p>
          <w:p w14:paraId="0799B37E" w14:textId="77777777" w:rsidR="0045777A" w:rsidRDefault="0045777A" w:rsidP="00F8788A">
            <w:pPr>
              <w:rPr>
                <w:rFonts w:asciiTheme="minorHAnsi" w:hAnsiTheme="minorHAnsi" w:cstheme="minorHAnsi"/>
                <w:color w:val="auto"/>
                <w:sz w:val="20"/>
                <w:szCs w:val="20"/>
              </w:rPr>
            </w:pPr>
          </w:p>
          <w:p w14:paraId="56992259" w14:textId="3AF4F73C" w:rsidR="0045777A" w:rsidRPr="0045777A" w:rsidRDefault="0045777A" w:rsidP="0045777A">
            <w:pPr>
              <w:rPr>
                <w:rFonts w:asciiTheme="minorHAnsi" w:hAnsiTheme="minorHAnsi" w:cstheme="minorHAnsi"/>
                <w:sz w:val="20"/>
                <w:szCs w:val="20"/>
              </w:rPr>
            </w:pPr>
            <w:r w:rsidRPr="0045777A">
              <w:rPr>
                <w:rFonts w:asciiTheme="minorHAnsi" w:hAnsiTheme="minorHAnsi" w:cstheme="minorHAnsi"/>
                <w:sz w:val="20"/>
                <w:szCs w:val="20"/>
              </w:rPr>
              <w:t xml:space="preserve">This presentation will </w:t>
            </w:r>
            <w:r>
              <w:rPr>
                <w:rFonts w:asciiTheme="minorHAnsi" w:hAnsiTheme="minorHAnsi" w:cstheme="minorHAnsi"/>
                <w:sz w:val="20"/>
                <w:szCs w:val="20"/>
              </w:rPr>
              <w:t xml:space="preserve">explore how social determinants of health and adverse </w:t>
            </w:r>
            <w:r w:rsidR="00423492">
              <w:rPr>
                <w:rFonts w:asciiTheme="minorHAnsi" w:hAnsiTheme="minorHAnsi" w:cstheme="minorHAnsi"/>
                <w:sz w:val="20"/>
                <w:szCs w:val="20"/>
              </w:rPr>
              <w:t xml:space="preserve">childhood </w:t>
            </w:r>
            <w:r>
              <w:rPr>
                <w:rFonts w:asciiTheme="minorHAnsi" w:hAnsiTheme="minorHAnsi" w:cstheme="minorHAnsi"/>
                <w:sz w:val="20"/>
                <w:szCs w:val="20"/>
              </w:rPr>
              <w:t xml:space="preserve">events impact health across the lifespan.  We will provide tools to screen for and address some of these barriers to whole health, both within primary care practices and </w:t>
            </w:r>
            <w:r w:rsidR="00C81F3A">
              <w:rPr>
                <w:rFonts w:asciiTheme="minorHAnsi" w:hAnsiTheme="minorHAnsi" w:cstheme="minorHAnsi"/>
                <w:sz w:val="20"/>
                <w:szCs w:val="20"/>
              </w:rPr>
              <w:t>through</w:t>
            </w:r>
            <w:r>
              <w:rPr>
                <w:rFonts w:asciiTheme="minorHAnsi" w:hAnsiTheme="minorHAnsi" w:cstheme="minorHAnsi"/>
                <w:sz w:val="20"/>
                <w:szCs w:val="20"/>
              </w:rPr>
              <w:t xml:space="preserve"> </w:t>
            </w:r>
            <w:r w:rsidR="00423492">
              <w:rPr>
                <w:rFonts w:asciiTheme="minorHAnsi" w:hAnsiTheme="minorHAnsi" w:cstheme="minorHAnsi"/>
                <w:sz w:val="20"/>
                <w:szCs w:val="20"/>
              </w:rPr>
              <w:t xml:space="preserve">effective </w:t>
            </w:r>
            <w:r>
              <w:rPr>
                <w:rFonts w:asciiTheme="minorHAnsi" w:hAnsiTheme="minorHAnsi" w:cstheme="minorHAnsi"/>
                <w:sz w:val="20"/>
                <w:szCs w:val="20"/>
              </w:rPr>
              <w:t>community partnerships.</w:t>
            </w:r>
          </w:p>
        </w:tc>
        <w:tc>
          <w:tcPr>
            <w:tcW w:w="2431" w:type="dxa"/>
            <w:tcBorders>
              <w:top w:val="single" w:sz="4" w:space="0" w:color="000000"/>
              <w:left w:val="single" w:sz="4" w:space="0" w:color="000000"/>
              <w:bottom w:val="single" w:sz="4" w:space="0" w:color="000000"/>
              <w:right w:val="single" w:sz="4" w:space="0" w:color="000000"/>
            </w:tcBorders>
          </w:tcPr>
          <w:p w14:paraId="149610A1" w14:textId="77777777" w:rsidR="0045777A" w:rsidRDefault="0055048E" w:rsidP="0045777A">
            <w:pPr>
              <w:rPr>
                <w:b/>
                <w:sz w:val="20"/>
                <w:szCs w:val="20"/>
              </w:rPr>
            </w:pPr>
            <w:r w:rsidRPr="005A1D7E">
              <w:rPr>
                <w:b/>
                <w:sz w:val="20"/>
                <w:szCs w:val="20"/>
              </w:rPr>
              <w:t xml:space="preserve">Chris </w:t>
            </w:r>
            <w:r w:rsidR="00F8788A" w:rsidRPr="005A1D7E">
              <w:rPr>
                <w:b/>
                <w:sz w:val="20"/>
                <w:szCs w:val="20"/>
              </w:rPr>
              <w:t>Pezzullo</w:t>
            </w:r>
            <w:r w:rsidR="00F8788A">
              <w:rPr>
                <w:b/>
                <w:sz w:val="20"/>
                <w:szCs w:val="20"/>
              </w:rPr>
              <w:t>, DO</w:t>
            </w:r>
          </w:p>
          <w:p w14:paraId="4386E1BB" w14:textId="77777777" w:rsidR="0045777A" w:rsidRDefault="0045777A" w:rsidP="0045777A">
            <w:pPr>
              <w:rPr>
                <w:b/>
                <w:sz w:val="20"/>
                <w:szCs w:val="20"/>
              </w:rPr>
            </w:pPr>
            <w:r>
              <w:rPr>
                <w:b/>
                <w:sz w:val="20"/>
                <w:szCs w:val="20"/>
              </w:rPr>
              <w:t>Clinical Director MPCA</w:t>
            </w:r>
          </w:p>
          <w:p w14:paraId="04D30A91" w14:textId="77777777" w:rsidR="0045777A" w:rsidRDefault="0045777A" w:rsidP="0045777A">
            <w:pPr>
              <w:rPr>
                <w:b/>
                <w:sz w:val="20"/>
                <w:szCs w:val="20"/>
              </w:rPr>
            </w:pPr>
          </w:p>
          <w:p w14:paraId="00C80AFE" w14:textId="77777777" w:rsidR="0045777A" w:rsidRDefault="0045777A" w:rsidP="0045777A">
            <w:pPr>
              <w:rPr>
                <w:b/>
                <w:sz w:val="20"/>
                <w:szCs w:val="20"/>
              </w:rPr>
            </w:pPr>
            <w:r>
              <w:rPr>
                <w:b/>
                <w:sz w:val="20"/>
                <w:szCs w:val="20"/>
              </w:rPr>
              <w:t>Erika Lichter, ScD</w:t>
            </w:r>
          </w:p>
          <w:p w14:paraId="2A117BA7" w14:textId="06F7A041" w:rsidR="0045777A" w:rsidRDefault="0045777A" w:rsidP="0045777A">
            <w:pPr>
              <w:rPr>
                <w:b/>
                <w:sz w:val="20"/>
                <w:szCs w:val="20"/>
              </w:rPr>
            </w:pPr>
            <w:r>
              <w:rPr>
                <w:b/>
                <w:sz w:val="20"/>
                <w:szCs w:val="20"/>
              </w:rPr>
              <w:t>Assoc. Research Professor, Muskie School /USM &amp;</w:t>
            </w:r>
          </w:p>
          <w:p w14:paraId="701CB5F0" w14:textId="77777777" w:rsidR="0045777A" w:rsidRDefault="0045777A" w:rsidP="0045777A">
            <w:pPr>
              <w:rPr>
                <w:b/>
                <w:sz w:val="20"/>
                <w:szCs w:val="20"/>
              </w:rPr>
            </w:pPr>
            <w:r>
              <w:rPr>
                <w:b/>
                <w:sz w:val="20"/>
                <w:szCs w:val="20"/>
              </w:rPr>
              <w:t>Lead Maternal-Child Health Epidemiologist, Maine CDC</w:t>
            </w:r>
          </w:p>
          <w:p w14:paraId="0422216C" w14:textId="77777777" w:rsidR="0045777A" w:rsidRDefault="0045777A" w:rsidP="0045777A">
            <w:pPr>
              <w:rPr>
                <w:b/>
                <w:sz w:val="20"/>
                <w:szCs w:val="20"/>
              </w:rPr>
            </w:pPr>
          </w:p>
          <w:p w14:paraId="11CCB703" w14:textId="4EE6F8F8" w:rsidR="0045777A" w:rsidRDefault="0045777A" w:rsidP="0045777A">
            <w:pPr>
              <w:rPr>
                <w:b/>
                <w:sz w:val="20"/>
                <w:szCs w:val="20"/>
              </w:rPr>
            </w:pPr>
            <w:r>
              <w:rPr>
                <w:b/>
                <w:sz w:val="20"/>
                <w:szCs w:val="20"/>
              </w:rPr>
              <w:t>Hillary Colcord, LSW</w:t>
            </w:r>
          </w:p>
          <w:p w14:paraId="4BC78D78" w14:textId="4769B529" w:rsidR="0055048E" w:rsidRPr="0045777A" w:rsidRDefault="0045777A" w:rsidP="0045777A">
            <w:pPr>
              <w:rPr>
                <w:b/>
                <w:sz w:val="20"/>
                <w:szCs w:val="20"/>
              </w:rPr>
            </w:pPr>
            <w:r>
              <w:rPr>
                <w:b/>
                <w:sz w:val="20"/>
                <w:szCs w:val="20"/>
              </w:rPr>
              <w:t>Health Equity Program Manager, MPCA</w:t>
            </w:r>
          </w:p>
        </w:tc>
        <w:tc>
          <w:tcPr>
            <w:tcW w:w="2521" w:type="dxa"/>
            <w:tcBorders>
              <w:top w:val="single" w:sz="4" w:space="0" w:color="000000"/>
              <w:left w:val="single" w:sz="4" w:space="0" w:color="000000"/>
              <w:bottom w:val="single" w:sz="4" w:space="0" w:color="000000"/>
              <w:right w:val="single" w:sz="4" w:space="0" w:color="000000"/>
            </w:tcBorders>
          </w:tcPr>
          <w:p w14:paraId="418B05F7" w14:textId="2BF66B06" w:rsidR="0055048E" w:rsidRPr="005A1D7E" w:rsidRDefault="005A1D7E" w:rsidP="0055048E">
            <w:pPr>
              <w:rPr>
                <w:sz w:val="20"/>
                <w:szCs w:val="20"/>
              </w:rPr>
            </w:pPr>
            <w:r w:rsidRPr="00F8788A">
              <w:rPr>
                <w:color w:val="808080"/>
                <w:sz w:val="20"/>
                <w:szCs w:val="20"/>
              </w:rPr>
              <w:t>1:30</w:t>
            </w:r>
            <w:r w:rsidR="00F8788A" w:rsidRPr="00F8788A">
              <w:rPr>
                <w:color w:val="808080"/>
                <w:sz w:val="20"/>
                <w:szCs w:val="20"/>
              </w:rPr>
              <w:t xml:space="preserve"> </w:t>
            </w:r>
            <w:r w:rsidRPr="00F8788A">
              <w:rPr>
                <w:color w:val="808080"/>
                <w:sz w:val="20"/>
                <w:szCs w:val="20"/>
              </w:rPr>
              <w:t>-</w:t>
            </w:r>
            <w:r w:rsidR="00F8788A" w:rsidRPr="00F8788A">
              <w:rPr>
                <w:color w:val="808080"/>
                <w:sz w:val="20"/>
                <w:szCs w:val="20"/>
              </w:rPr>
              <w:t xml:space="preserve"> </w:t>
            </w:r>
            <w:r w:rsidRPr="00F8788A">
              <w:rPr>
                <w:color w:val="808080"/>
                <w:sz w:val="20"/>
                <w:szCs w:val="20"/>
              </w:rPr>
              <w:t>2:30</w:t>
            </w:r>
            <w:r w:rsidR="00F8788A">
              <w:rPr>
                <w:color w:val="808080"/>
                <w:sz w:val="20"/>
                <w:szCs w:val="20"/>
              </w:rPr>
              <w:t xml:space="preserve"> PM</w:t>
            </w:r>
          </w:p>
        </w:tc>
      </w:tr>
      <w:tr w:rsidR="0055048E" w14:paraId="33004D57" w14:textId="77777777" w:rsidTr="003C6EF2">
        <w:trPr>
          <w:trHeight w:val="374"/>
        </w:trPr>
        <w:tc>
          <w:tcPr>
            <w:tcW w:w="5941" w:type="dxa"/>
            <w:gridSpan w:val="3"/>
            <w:tcBorders>
              <w:top w:val="single" w:sz="4" w:space="0" w:color="000000"/>
              <w:left w:val="single" w:sz="4" w:space="0" w:color="000000"/>
              <w:bottom w:val="single" w:sz="4" w:space="0" w:color="000000"/>
              <w:right w:val="single" w:sz="4" w:space="0" w:color="000000"/>
            </w:tcBorders>
          </w:tcPr>
          <w:p w14:paraId="38671762" w14:textId="77777777" w:rsidR="0055048E" w:rsidRDefault="0055048E" w:rsidP="0055048E">
            <w:r>
              <w:rPr>
                <w:b/>
                <w:sz w:val="20"/>
              </w:rPr>
              <w:t xml:space="preserve">Break </w:t>
            </w:r>
          </w:p>
        </w:tc>
        <w:tc>
          <w:tcPr>
            <w:tcW w:w="2431" w:type="dxa"/>
            <w:tcBorders>
              <w:top w:val="single" w:sz="4" w:space="0" w:color="000000"/>
              <w:left w:val="single" w:sz="4" w:space="0" w:color="000000"/>
              <w:bottom w:val="single" w:sz="4" w:space="0" w:color="000000"/>
              <w:right w:val="single" w:sz="4" w:space="0" w:color="000000"/>
            </w:tcBorders>
          </w:tcPr>
          <w:p w14:paraId="65F8D4DA" w14:textId="77777777" w:rsidR="0055048E" w:rsidRDefault="0055048E" w:rsidP="0055048E">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60AAFA0" w14:textId="21ADAD3A" w:rsidR="0055048E" w:rsidRPr="00F8788A" w:rsidRDefault="0055048E" w:rsidP="0055048E">
            <w:pPr>
              <w:rPr>
                <w:color w:val="808080"/>
              </w:rPr>
            </w:pPr>
            <w:r w:rsidRPr="00F8788A">
              <w:rPr>
                <w:color w:val="808080"/>
                <w:sz w:val="20"/>
              </w:rPr>
              <w:t>2:30</w:t>
            </w:r>
            <w:r w:rsidR="00F8788A" w:rsidRPr="00F8788A">
              <w:rPr>
                <w:color w:val="808080"/>
                <w:sz w:val="20"/>
              </w:rPr>
              <w:t xml:space="preserve"> </w:t>
            </w:r>
            <w:r w:rsidRPr="00F8788A">
              <w:rPr>
                <w:color w:val="808080"/>
                <w:sz w:val="20"/>
              </w:rPr>
              <w:t>-</w:t>
            </w:r>
            <w:r w:rsidR="00F8788A" w:rsidRPr="00F8788A">
              <w:rPr>
                <w:color w:val="808080"/>
                <w:sz w:val="20"/>
              </w:rPr>
              <w:t xml:space="preserve"> </w:t>
            </w:r>
            <w:r w:rsidRPr="00F8788A">
              <w:rPr>
                <w:color w:val="808080"/>
                <w:sz w:val="20"/>
              </w:rPr>
              <w:t xml:space="preserve">2:45 PM </w:t>
            </w:r>
          </w:p>
        </w:tc>
      </w:tr>
      <w:tr w:rsidR="0055048E" w14:paraId="5A9D580E" w14:textId="77777777" w:rsidTr="00F8788A">
        <w:trPr>
          <w:trHeight w:val="2114"/>
        </w:trPr>
        <w:tc>
          <w:tcPr>
            <w:tcW w:w="5941" w:type="dxa"/>
            <w:gridSpan w:val="3"/>
            <w:tcBorders>
              <w:top w:val="single" w:sz="4" w:space="0" w:color="000000"/>
              <w:left w:val="single" w:sz="4" w:space="0" w:color="000000"/>
              <w:bottom w:val="single" w:sz="4" w:space="0" w:color="000000"/>
              <w:right w:val="single" w:sz="4" w:space="0" w:color="000000"/>
            </w:tcBorders>
          </w:tcPr>
          <w:p w14:paraId="2DA3CFA2" w14:textId="2EC042C4" w:rsidR="0055048E" w:rsidRDefault="0055048E" w:rsidP="0055048E">
            <w:pPr>
              <w:ind w:right="15"/>
              <w:rPr>
                <w:b/>
                <w:sz w:val="20"/>
              </w:rPr>
            </w:pPr>
            <w:r>
              <w:rPr>
                <w:b/>
                <w:sz w:val="20"/>
              </w:rPr>
              <w:t>Driving Change</w:t>
            </w:r>
            <w:r>
              <w:rPr>
                <w:sz w:val="20"/>
              </w:rPr>
              <w:t xml:space="preserve">  </w:t>
            </w:r>
            <w:r>
              <w:rPr>
                <w:b/>
                <w:sz w:val="20"/>
              </w:rPr>
              <w:t xml:space="preserve"> </w:t>
            </w:r>
          </w:p>
          <w:p w14:paraId="20CE3777" w14:textId="37760BBA" w:rsidR="0055048E" w:rsidRDefault="0055048E" w:rsidP="0055048E">
            <w:pPr>
              <w:ind w:right="15"/>
              <w:rPr>
                <w:b/>
                <w:sz w:val="20"/>
              </w:rPr>
            </w:pPr>
            <w:r>
              <w:rPr>
                <w:b/>
                <w:sz w:val="20"/>
              </w:rPr>
              <w:t xml:space="preserve">    Next steps for FQHC network – brainstorm/goals</w:t>
            </w:r>
          </w:p>
          <w:p w14:paraId="30AE400C" w14:textId="77777777" w:rsidR="0055048E" w:rsidRPr="00042686" w:rsidRDefault="0055048E" w:rsidP="0055048E">
            <w:pPr>
              <w:ind w:right="15"/>
              <w:rPr>
                <w:rFonts w:asciiTheme="minorHAnsi" w:eastAsia="Segoe UI Symbol" w:hAnsiTheme="minorHAnsi" w:cstheme="minorHAnsi"/>
                <w:sz w:val="20"/>
              </w:rPr>
            </w:pPr>
            <w:r>
              <w:rPr>
                <w:rFonts w:ascii="Segoe UI Symbol" w:eastAsia="Segoe UI Symbol" w:hAnsi="Segoe UI Symbol" w:cs="Segoe UI Symbol"/>
                <w:sz w:val="20"/>
              </w:rPr>
              <w:t xml:space="preserve">   </w:t>
            </w:r>
            <w:r w:rsidRPr="00042686">
              <w:rPr>
                <w:rFonts w:asciiTheme="minorHAnsi" w:eastAsia="Segoe UI Symbol" w:hAnsiTheme="minorHAnsi" w:cstheme="minorHAnsi"/>
                <w:sz w:val="20"/>
              </w:rPr>
              <w:t>Provider listening session – From Inspiration to Innovation</w:t>
            </w:r>
          </w:p>
          <w:p w14:paraId="54FCA84E" w14:textId="66367661" w:rsidR="0055048E" w:rsidRPr="00042686" w:rsidRDefault="0055048E" w:rsidP="0055048E">
            <w:pPr>
              <w:pStyle w:val="ListParagraph"/>
              <w:numPr>
                <w:ilvl w:val="0"/>
                <w:numId w:val="10"/>
              </w:numPr>
              <w:ind w:right="15"/>
              <w:rPr>
                <w:rFonts w:asciiTheme="minorHAnsi" w:eastAsia="Segoe UI Symbol" w:hAnsiTheme="minorHAnsi" w:cstheme="minorHAnsi"/>
                <w:sz w:val="20"/>
              </w:rPr>
            </w:pPr>
            <w:r w:rsidRPr="00042686">
              <w:rPr>
                <w:rFonts w:asciiTheme="minorHAnsi" w:eastAsia="Segoe UI Symbol" w:hAnsiTheme="minorHAnsi" w:cstheme="minorHAnsi"/>
                <w:sz w:val="20"/>
              </w:rPr>
              <w:t>What are the challenges?</w:t>
            </w:r>
          </w:p>
          <w:p w14:paraId="17F9480D" w14:textId="418E910A" w:rsidR="0055048E" w:rsidRPr="00042686" w:rsidRDefault="0055048E" w:rsidP="0055048E">
            <w:pPr>
              <w:pStyle w:val="ListParagraph"/>
              <w:numPr>
                <w:ilvl w:val="0"/>
                <w:numId w:val="10"/>
              </w:numPr>
              <w:ind w:right="15"/>
              <w:rPr>
                <w:rFonts w:asciiTheme="minorHAnsi" w:eastAsia="Segoe UI Symbol" w:hAnsiTheme="minorHAnsi" w:cstheme="minorHAnsi"/>
                <w:sz w:val="20"/>
              </w:rPr>
            </w:pPr>
            <w:r w:rsidRPr="00042686">
              <w:rPr>
                <w:rFonts w:asciiTheme="minorHAnsi" w:eastAsia="Segoe UI Symbol" w:hAnsiTheme="minorHAnsi" w:cstheme="minorHAnsi"/>
                <w:sz w:val="20"/>
              </w:rPr>
              <w:t>Where are the divides in our communities?  How does that effect population health?</w:t>
            </w:r>
          </w:p>
          <w:p w14:paraId="00614934" w14:textId="1982024C" w:rsidR="0055048E" w:rsidRDefault="0055048E" w:rsidP="0055048E">
            <w:pPr>
              <w:pStyle w:val="ListParagraph"/>
              <w:numPr>
                <w:ilvl w:val="0"/>
                <w:numId w:val="10"/>
              </w:numPr>
              <w:ind w:right="15"/>
            </w:pPr>
            <w:r w:rsidRPr="00042686">
              <w:rPr>
                <w:rFonts w:asciiTheme="minorHAnsi" w:eastAsia="Segoe UI Symbol" w:hAnsiTheme="minorHAnsi" w:cstheme="minorHAnsi"/>
                <w:sz w:val="20"/>
              </w:rPr>
              <w:t>What brings us together as an FQHC network?  What can we build?</w:t>
            </w:r>
          </w:p>
        </w:tc>
        <w:tc>
          <w:tcPr>
            <w:tcW w:w="2431" w:type="dxa"/>
            <w:tcBorders>
              <w:top w:val="single" w:sz="4" w:space="0" w:color="000000"/>
              <w:left w:val="single" w:sz="4" w:space="0" w:color="000000"/>
              <w:bottom w:val="single" w:sz="4" w:space="0" w:color="000000"/>
              <w:right w:val="single" w:sz="4" w:space="0" w:color="000000"/>
            </w:tcBorders>
          </w:tcPr>
          <w:p w14:paraId="2F421114" w14:textId="77777777" w:rsidR="0055048E" w:rsidRDefault="0055048E" w:rsidP="0055048E">
            <w:r>
              <w:rPr>
                <w:b/>
                <w:sz w:val="20"/>
              </w:rPr>
              <w:t>MPCA staff to facilitate</w:t>
            </w:r>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4960728" w14:textId="461FCA1B" w:rsidR="0055048E" w:rsidRDefault="0055048E" w:rsidP="00F8788A">
            <w:r>
              <w:rPr>
                <w:color w:val="808080"/>
                <w:sz w:val="20"/>
              </w:rPr>
              <w:t>2:45</w:t>
            </w:r>
            <w:r w:rsidR="00F8788A">
              <w:rPr>
                <w:color w:val="808080"/>
                <w:sz w:val="20"/>
              </w:rPr>
              <w:t xml:space="preserve"> </w:t>
            </w:r>
            <w:r>
              <w:rPr>
                <w:color w:val="808080"/>
                <w:sz w:val="20"/>
              </w:rPr>
              <w:t>-</w:t>
            </w:r>
            <w:r w:rsidR="00F8788A">
              <w:rPr>
                <w:color w:val="808080"/>
                <w:sz w:val="20"/>
              </w:rPr>
              <w:t xml:space="preserve"> </w:t>
            </w:r>
            <w:r>
              <w:rPr>
                <w:color w:val="808080"/>
                <w:sz w:val="20"/>
              </w:rPr>
              <w:t xml:space="preserve">3:30 </w:t>
            </w:r>
            <w:r w:rsidR="00F8788A">
              <w:rPr>
                <w:color w:val="808080"/>
                <w:sz w:val="20"/>
              </w:rPr>
              <w:t>PM</w:t>
            </w:r>
          </w:p>
        </w:tc>
      </w:tr>
    </w:tbl>
    <w:p w14:paraId="4B4B4115" w14:textId="77777777" w:rsidR="005332E5" w:rsidRDefault="00120956">
      <w:pPr>
        <w:spacing w:after="0"/>
        <w:ind w:left="-720"/>
        <w:jc w:val="both"/>
      </w:pPr>
      <w:r>
        <w:rPr>
          <w:sz w:val="20"/>
        </w:rPr>
        <w:t xml:space="preserve"> </w:t>
      </w:r>
    </w:p>
    <w:sectPr w:rsidR="005332E5" w:rsidSect="003C6EF2">
      <w:pgSz w:w="12240" w:h="15840"/>
      <w:pgMar w:top="63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7476"/>
    <w:multiLevelType w:val="hybridMultilevel"/>
    <w:tmpl w:val="29C0325A"/>
    <w:lvl w:ilvl="0" w:tplc="00E0D45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182E"/>
    <w:multiLevelType w:val="hybridMultilevel"/>
    <w:tmpl w:val="C6AC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FB5"/>
    <w:multiLevelType w:val="multilevel"/>
    <w:tmpl w:val="1DB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D43E1"/>
    <w:multiLevelType w:val="hybridMultilevel"/>
    <w:tmpl w:val="A7389188"/>
    <w:lvl w:ilvl="0" w:tplc="7F9AD1EE">
      <w:start w:val="1"/>
      <w:numFmt w:val="decimal"/>
      <w:lvlText w:val="%1."/>
      <w:lvlJc w:val="left"/>
      <w:pPr>
        <w:ind w:left="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56B8A6">
      <w:start w:val="1"/>
      <w:numFmt w:val="lowerLetter"/>
      <w:lvlText w:val="%2"/>
      <w:lvlJc w:val="left"/>
      <w:pPr>
        <w:ind w:left="1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74CC74">
      <w:start w:val="1"/>
      <w:numFmt w:val="lowerRoman"/>
      <w:lvlText w:val="%3"/>
      <w:lvlJc w:val="left"/>
      <w:pPr>
        <w:ind w:left="1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BA97D4">
      <w:start w:val="1"/>
      <w:numFmt w:val="decimal"/>
      <w:lvlText w:val="%4"/>
      <w:lvlJc w:val="left"/>
      <w:pPr>
        <w:ind w:left="2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29A78">
      <w:start w:val="1"/>
      <w:numFmt w:val="lowerLetter"/>
      <w:lvlText w:val="%5"/>
      <w:lvlJc w:val="left"/>
      <w:pPr>
        <w:ind w:left="3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E7DE4">
      <w:start w:val="1"/>
      <w:numFmt w:val="lowerRoman"/>
      <w:lvlText w:val="%6"/>
      <w:lvlJc w:val="left"/>
      <w:pPr>
        <w:ind w:left="4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806AFC">
      <w:start w:val="1"/>
      <w:numFmt w:val="decimal"/>
      <w:lvlText w:val="%7"/>
      <w:lvlJc w:val="left"/>
      <w:pPr>
        <w:ind w:left="4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A8112E">
      <w:start w:val="1"/>
      <w:numFmt w:val="lowerLetter"/>
      <w:lvlText w:val="%8"/>
      <w:lvlJc w:val="left"/>
      <w:pPr>
        <w:ind w:left="5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A6738">
      <w:start w:val="1"/>
      <w:numFmt w:val="lowerRoman"/>
      <w:lvlText w:val="%9"/>
      <w:lvlJc w:val="left"/>
      <w:pPr>
        <w:ind w:left="6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364AC7"/>
    <w:multiLevelType w:val="hybridMultilevel"/>
    <w:tmpl w:val="FF6A4640"/>
    <w:lvl w:ilvl="0" w:tplc="5D9203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B80DB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AA378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4FC8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2315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A6B6B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1E0F1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AE66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C3CA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A01278"/>
    <w:multiLevelType w:val="hybridMultilevel"/>
    <w:tmpl w:val="62BACE06"/>
    <w:lvl w:ilvl="0" w:tplc="00E0D45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D2B0E"/>
    <w:multiLevelType w:val="hybridMultilevel"/>
    <w:tmpl w:val="FC085E3A"/>
    <w:lvl w:ilvl="0" w:tplc="4FF0FF74">
      <w:start w:val="1"/>
      <w:numFmt w:val="bullet"/>
      <w:lvlText w:val="o"/>
      <w:lvlJc w:val="left"/>
      <w:pPr>
        <w:ind w:left="16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C3C5684">
      <w:start w:val="1"/>
      <w:numFmt w:val="bullet"/>
      <w:lvlText w:val="o"/>
      <w:lvlJc w:val="left"/>
      <w:pPr>
        <w:ind w:left="24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FA6652E">
      <w:start w:val="1"/>
      <w:numFmt w:val="bullet"/>
      <w:lvlText w:val="▪"/>
      <w:lvlJc w:val="left"/>
      <w:pPr>
        <w:ind w:left="31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0E0D450">
      <w:start w:val="1"/>
      <w:numFmt w:val="bullet"/>
      <w:lvlText w:val="•"/>
      <w:lvlJc w:val="left"/>
      <w:pPr>
        <w:ind w:left="39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9606FC4">
      <w:start w:val="1"/>
      <w:numFmt w:val="bullet"/>
      <w:lvlText w:val="o"/>
      <w:lvlJc w:val="left"/>
      <w:pPr>
        <w:ind w:left="46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F88848">
      <w:start w:val="1"/>
      <w:numFmt w:val="bullet"/>
      <w:lvlText w:val="▪"/>
      <w:lvlJc w:val="left"/>
      <w:pPr>
        <w:ind w:left="53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75E0896">
      <w:start w:val="1"/>
      <w:numFmt w:val="bullet"/>
      <w:lvlText w:val="•"/>
      <w:lvlJc w:val="left"/>
      <w:pPr>
        <w:ind w:left="60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C3867E8">
      <w:start w:val="1"/>
      <w:numFmt w:val="bullet"/>
      <w:lvlText w:val="o"/>
      <w:lvlJc w:val="left"/>
      <w:pPr>
        <w:ind w:left="67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828C31A">
      <w:start w:val="1"/>
      <w:numFmt w:val="bullet"/>
      <w:lvlText w:val="▪"/>
      <w:lvlJc w:val="left"/>
      <w:pPr>
        <w:ind w:left="75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7C164D"/>
    <w:multiLevelType w:val="hybridMultilevel"/>
    <w:tmpl w:val="6B7E3110"/>
    <w:lvl w:ilvl="0" w:tplc="8466CBDE">
      <w:start w:val="1"/>
      <w:numFmt w:val="bullet"/>
      <w:lvlText w:val="•"/>
      <w:lvlJc w:val="left"/>
      <w:pPr>
        <w:ind w:left="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04158">
      <w:start w:val="1"/>
      <w:numFmt w:val="bullet"/>
      <w:lvlText w:val="o"/>
      <w:lvlJc w:val="left"/>
      <w:pPr>
        <w:ind w:left="1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1CD918">
      <w:start w:val="1"/>
      <w:numFmt w:val="bullet"/>
      <w:lvlText w:val="▪"/>
      <w:lvlJc w:val="left"/>
      <w:pPr>
        <w:ind w:left="2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0D552">
      <w:start w:val="1"/>
      <w:numFmt w:val="bullet"/>
      <w:lvlText w:val="•"/>
      <w:lvlJc w:val="left"/>
      <w:pPr>
        <w:ind w:left="3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826D00">
      <w:start w:val="1"/>
      <w:numFmt w:val="bullet"/>
      <w:lvlText w:val="o"/>
      <w:lvlJc w:val="left"/>
      <w:pPr>
        <w:ind w:left="3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EC8B3C">
      <w:start w:val="1"/>
      <w:numFmt w:val="bullet"/>
      <w:lvlText w:val="▪"/>
      <w:lvlJc w:val="left"/>
      <w:pPr>
        <w:ind w:left="4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5CC064">
      <w:start w:val="1"/>
      <w:numFmt w:val="bullet"/>
      <w:lvlText w:val="•"/>
      <w:lvlJc w:val="left"/>
      <w:pPr>
        <w:ind w:left="5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2C2B6A">
      <w:start w:val="1"/>
      <w:numFmt w:val="bullet"/>
      <w:lvlText w:val="o"/>
      <w:lvlJc w:val="left"/>
      <w:pPr>
        <w:ind w:left="6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A8562">
      <w:start w:val="1"/>
      <w:numFmt w:val="bullet"/>
      <w:lvlText w:val="▪"/>
      <w:lvlJc w:val="left"/>
      <w:pPr>
        <w:ind w:left="6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1E5C82"/>
    <w:multiLevelType w:val="hybridMultilevel"/>
    <w:tmpl w:val="2DC4163A"/>
    <w:lvl w:ilvl="0" w:tplc="00E0D45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45270"/>
    <w:multiLevelType w:val="hybridMultilevel"/>
    <w:tmpl w:val="B4FE0A76"/>
    <w:lvl w:ilvl="0" w:tplc="00E0D45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A7DD5"/>
    <w:multiLevelType w:val="hybridMultilevel"/>
    <w:tmpl w:val="61AEB9B6"/>
    <w:lvl w:ilvl="0" w:tplc="0409000F">
      <w:start w:val="1"/>
      <w:numFmt w:val="decimal"/>
      <w:lvlText w:val="%1."/>
      <w:lvlJc w:val="left"/>
      <w:pPr>
        <w:ind w:left="720" w:hanging="360"/>
      </w:pPr>
    </w:lvl>
    <w:lvl w:ilvl="1" w:tplc="F0DA6FE6">
      <w:start w:val="1"/>
      <w:numFmt w:val="lowerLetter"/>
      <w:lvlText w:val="%2."/>
      <w:lvlJc w:val="left"/>
      <w:pPr>
        <w:ind w:left="1440" w:hanging="360"/>
      </w:pPr>
      <w:rPr>
        <w:rFonts w:eastAsia="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4B4A"/>
    <w:multiLevelType w:val="hybridMultilevel"/>
    <w:tmpl w:val="2242811C"/>
    <w:lvl w:ilvl="0" w:tplc="00E0D45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A7E5E"/>
    <w:multiLevelType w:val="multilevel"/>
    <w:tmpl w:val="493265C2"/>
    <w:lvl w:ilvl="0">
      <w:start w:val="1"/>
      <w:numFmt w:val="bullet"/>
      <w:lvlText w:val="•"/>
      <w:lvlJc w:val="left"/>
      <w:pPr>
        <w:tabs>
          <w:tab w:val="num" w:pos="720"/>
        </w:tabs>
        <w:ind w:left="72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7"/>
  </w:num>
  <w:num w:numId="5">
    <w:abstractNumId w:val="10"/>
  </w:num>
  <w:num w:numId="6">
    <w:abstractNumId w:val="1"/>
  </w:num>
  <w:num w:numId="7">
    <w:abstractNumId w:val="8"/>
  </w:num>
  <w:num w:numId="8">
    <w:abstractNumId w:val="2"/>
  </w:num>
  <w:num w:numId="9">
    <w:abstractNumId w:val="0"/>
  </w:num>
  <w:num w:numId="10">
    <w:abstractNumId w:val="11"/>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E5"/>
    <w:rsid w:val="00042686"/>
    <w:rsid w:val="00120956"/>
    <w:rsid w:val="0016317C"/>
    <w:rsid w:val="00181008"/>
    <w:rsid w:val="0020287F"/>
    <w:rsid w:val="002574CD"/>
    <w:rsid w:val="003C6EF2"/>
    <w:rsid w:val="00423492"/>
    <w:rsid w:val="0045777A"/>
    <w:rsid w:val="005332E5"/>
    <w:rsid w:val="0055048E"/>
    <w:rsid w:val="005528AE"/>
    <w:rsid w:val="005A1D7E"/>
    <w:rsid w:val="0071280C"/>
    <w:rsid w:val="00765F1A"/>
    <w:rsid w:val="0085558B"/>
    <w:rsid w:val="00911C56"/>
    <w:rsid w:val="009F54BA"/>
    <w:rsid w:val="00AD2F32"/>
    <w:rsid w:val="00BB38EA"/>
    <w:rsid w:val="00BF5970"/>
    <w:rsid w:val="00C35584"/>
    <w:rsid w:val="00C81F3A"/>
    <w:rsid w:val="00CC7D71"/>
    <w:rsid w:val="00CD464E"/>
    <w:rsid w:val="00D05277"/>
    <w:rsid w:val="00D5272C"/>
    <w:rsid w:val="00DD369B"/>
    <w:rsid w:val="00E61A13"/>
    <w:rsid w:val="00ED1E2C"/>
    <w:rsid w:val="00ED3EF9"/>
    <w:rsid w:val="00F862F0"/>
    <w:rsid w:val="00F8788A"/>
    <w:rsid w:val="00F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F61B"/>
  <w15:docId w15:val="{6ADA0EB9-D163-4E6C-9CD3-EA01AAFF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8B"/>
    <w:rPr>
      <w:rFonts w:ascii="Segoe UI" w:eastAsia="Calibri" w:hAnsi="Segoe UI" w:cs="Segoe UI"/>
      <w:color w:val="000000"/>
      <w:sz w:val="18"/>
      <w:szCs w:val="18"/>
    </w:rPr>
  </w:style>
  <w:style w:type="paragraph" w:styleId="ListParagraph">
    <w:name w:val="List Paragraph"/>
    <w:basedOn w:val="Normal"/>
    <w:uiPriority w:val="34"/>
    <w:qFormat/>
    <w:rsid w:val="00ED3EF9"/>
    <w:pPr>
      <w:ind w:left="720"/>
      <w:contextualSpacing/>
    </w:pPr>
  </w:style>
  <w:style w:type="paragraph" w:styleId="NormalWeb">
    <w:name w:val="Normal (Web)"/>
    <w:basedOn w:val="Normal"/>
    <w:uiPriority w:val="99"/>
    <w:semiHidden/>
    <w:unhideWhenUsed/>
    <w:rsid w:val="00ED3E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ED3EF9"/>
    <w:rPr>
      <w:color w:val="0000FF"/>
      <w:u w:val="single"/>
    </w:rPr>
  </w:style>
  <w:style w:type="character" w:customStyle="1" w:styleId="numbers">
    <w:name w:val="numbers"/>
    <w:basedOn w:val="DefaultParagraphFont"/>
    <w:rsid w:val="00ED3EF9"/>
  </w:style>
  <w:style w:type="paragraph" w:customStyle="1" w:styleId="address">
    <w:name w:val="address"/>
    <w:basedOn w:val="Normal"/>
    <w:qFormat/>
    <w:rsid w:val="00CD464E"/>
    <w:pPr>
      <w:spacing w:before="60" w:after="0" w:line="240" w:lineRule="auto"/>
      <w:jc w:val="center"/>
    </w:pPr>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7236">
      <w:bodyDiv w:val="1"/>
      <w:marLeft w:val="0"/>
      <w:marRight w:val="0"/>
      <w:marTop w:val="0"/>
      <w:marBottom w:val="0"/>
      <w:divBdr>
        <w:top w:val="none" w:sz="0" w:space="0" w:color="auto"/>
        <w:left w:val="none" w:sz="0" w:space="0" w:color="auto"/>
        <w:bottom w:val="none" w:sz="0" w:space="0" w:color="auto"/>
        <w:right w:val="none" w:sz="0" w:space="0" w:color="auto"/>
      </w:divBdr>
    </w:div>
    <w:div w:id="831338184">
      <w:bodyDiv w:val="1"/>
      <w:marLeft w:val="0"/>
      <w:marRight w:val="0"/>
      <w:marTop w:val="0"/>
      <w:marBottom w:val="0"/>
      <w:divBdr>
        <w:top w:val="none" w:sz="0" w:space="0" w:color="auto"/>
        <w:left w:val="none" w:sz="0" w:space="0" w:color="auto"/>
        <w:bottom w:val="none" w:sz="0" w:space="0" w:color="auto"/>
        <w:right w:val="none" w:sz="0" w:space="0" w:color="auto"/>
      </w:divBdr>
    </w:div>
    <w:div w:id="1009059912">
      <w:bodyDiv w:val="1"/>
      <w:marLeft w:val="0"/>
      <w:marRight w:val="0"/>
      <w:marTop w:val="0"/>
      <w:marBottom w:val="0"/>
      <w:divBdr>
        <w:top w:val="none" w:sz="0" w:space="0" w:color="auto"/>
        <w:left w:val="none" w:sz="0" w:space="0" w:color="auto"/>
        <w:bottom w:val="none" w:sz="0" w:space="0" w:color="auto"/>
        <w:right w:val="none" w:sz="0" w:space="0" w:color="auto"/>
      </w:divBdr>
    </w:div>
    <w:div w:id="1182087247">
      <w:bodyDiv w:val="1"/>
      <w:marLeft w:val="0"/>
      <w:marRight w:val="0"/>
      <w:marTop w:val="0"/>
      <w:marBottom w:val="0"/>
      <w:divBdr>
        <w:top w:val="none" w:sz="0" w:space="0" w:color="auto"/>
        <w:left w:val="none" w:sz="0" w:space="0" w:color="auto"/>
        <w:bottom w:val="none" w:sz="0" w:space="0" w:color="auto"/>
        <w:right w:val="none" w:sz="0" w:space="0" w:color="auto"/>
      </w:divBdr>
    </w:div>
    <w:div w:id="1270821870">
      <w:bodyDiv w:val="1"/>
      <w:marLeft w:val="0"/>
      <w:marRight w:val="0"/>
      <w:marTop w:val="0"/>
      <w:marBottom w:val="0"/>
      <w:divBdr>
        <w:top w:val="none" w:sz="0" w:space="0" w:color="auto"/>
        <w:left w:val="none" w:sz="0" w:space="0" w:color="auto"/>
        <w:bottom w:val="none" w:sz="0" w:space="0" w:color="auto"/>
        <w:right w:val="none" w:sz="0" w:space="0" w:color="auto"/>
      </w:divBdr>
    </w:div>
    <w:div w:id="191877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ioprogram.org/resources/glos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Watkins</dc:creator>
  <cp:keywords/>
  <cp:lastModifiedBy>Bryan Wyatt</cp:lastModifiedBy>
  <cp:revision>2</cp:revision>
  <cp:lastPrinted>2019-04-03T15:40:00Z</cp:lastPrinted>
  <dcterms:created xsi:type="dcterms:W3CDTF">2019-05-30T18:10:00Z</dcterms:created>
  <dcterms:modified xsi:type="dcterms:W3CDTF">2019-05-30T18:10:00Z</dcterms:modified>
</cp:coreProperties>
</file>